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E00" w:rsidRDefault="00BE3E00" w:rsidP="00BE3E0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7151DB">
        <w:rPr>
          <w:b/>
          <w:noProof/>
          <w:sz w:val="24"/>
          <w:lang w:eastAsia="ja-JP"/>
        </w:rPr>
        <w:t>1</w:t>
      </w:r>
      <w:r>
        <w:rPr>
          <w:b/>
          <w:i/>
          <w:noProof/>
          <w:sz w:val="28"/>
        </w:rPr>
        <w:tab/>
      </w:r>
      <w:r w:rsidR="00C0555D" w:rsidRPr="00C0555D">
        <w:rPr>
          <w:b/>
          <w:i/>
          <w:noProof/>
          <w:sz w:val="28"/>
        </w:rPr>
        <w:t>R4-1906992</w:t>
      </w:r>
    </w:p>
    <w:p w:rsidR="00BE3E00" w:rsidRDefault="007151DB" w:rsidP="00BE3E00">
      <w:pPr>
        <w:spacing w:after="120"/>
        <w:ind w:left="1985" w:hanging="1985"/>
        <w:rPr>
          <w:rFonts w:ascii="Arial" w:hAnsi="Arial" w:cs="Arial"/>
          <w:b/>
          <w:noProof/>
          <w:sz w:val="24"/>
          <w:lang w:eastAsia="ja-JP"/>
        </w:rPr>
      </w:pPr>
      <w:r>
        <w:rPr>
          <w:rFonts w:ascii="Arial" w:hAnsi="Arial" w:cs="Arial" w:hint="eastAsia"/>
          <w:b/>
          <w:noProof/>
          <w:sz w:val="24"/>
          <w:lang w:eastAsia="ja-JP"/>
        </w:rPr>
        <w:t>Reno</w:t>
      </w:r>
      <w:r w:rsidR="00BE3E00" w:rsidRPr="00096656">
        <w:rPr>
          <w:rFonts w:ascii="Arial" w:hAnsi="Arial" w:cs="Arial"/>
          <w:b/>
          <w:noProof/>
          <w:sz w:val="24"/>
        </w:rPr>
        <w:t xml:space="preserve">, </w:t>
      </w:r>
      <w:r>
        <w:rPr>
          <w:rFonts w:ascii="Arial" w:hAnsi="Arial" w:cs="Arial"/>
          <w:b/>
          <w:noProof/>
          <w:sz w:val="24"/>
          <w:lang w:eastAsia="ja-JP"/>
        </w:rPr>
        <w:t>US</w:t>
      </w:r>
      <w:r w:rsidR="00BE3E00">
        <w:rPr>
          <w:rFonts w:ascii="Arial" w:hAnsi="Arial" w:cs="Arial" w:hint="eastAsia"/>
          <w:b/>
          <w:noProof/>
          <w:sz w:val="24"/>
          <w:lang w:eastAsia="ja-JP"/>
        </w:rPr>
        <w:t>,</w:t>
      </w:r>
      <w:r w:rsidR="00BE3E00">
        <w:rPr>
          <w:rFonts w:ascii="Arial" w:hAnsi="Arial" w:cs="Arial"/>
          <w:b/>
          <w:noProof/>
          <w:sz w:val="24"/>
        </w:rPr>
        <w:t xml:space="preserve"> </w:t>
      </w:r>
      <w:r>
        <w:rPr>
          <w:rFonts w:ascii="Arial" w:hAnsi="Arial" w:cs="Arial"/>
          <w:b/>
          <w:noProof/>
          <w:sz w:val="24"/>
          <w:lang w:eastAsia="ja-JP"/>
        </w:rPr>
        <w:t>13</w:t>
      </w:r>
      <w:r>
        <w:rPr>
          <w:rFonts w:ascii="Arial" w:hAnsi="Arial" w:cs="Arial"/>
          <w:b/>
          <w:noProof/>
          <w:sz w:val="24"/>
          <w:vertAlign w:val="superscript"/>
          <w:lang w:eastAsia="ja-JP"/>
        </w:rPr>
        <w:t>th</w:t>
      </w:r>
      <w:r w:rsidR="00BE3E00">
        <w:rPr>
          <w:rFonts w:ascii="Arial" w:hAnsi="Arial" w:cs="Arial" w:hint="eastAsia"/>
          <w:b/>
          <w:noProof/>
          <w:sz w:val="24"/>
        </w:rPr>
        <w:t xml:space="preserve"> </w:t>
      </w:r>
      <w:r w:rsidR="00BE3E00">
        <w:rPr>
          <w:rFonts w:ascii="Arial" w:hAnsi="Arial" w:cs="Arial"/>
          <w:b/>
          <w:noProof/>
          <w:sz w:val="24"/>
          <w:lang w:eastAsia="ja-JP"/>
        </w:rPr>
        <w:t>–</w:t>
      </w:r>
      <w:r w:rsidR="00BE3E00">
        <w:rPr>
          <w:rFonts w:ascii="Arial" w:hAnsi="Arial" w:cs="Arial" w:hint="eastAsia"/>
          <w:b/>
          <w:noProof/>
          <w:sz w:val="24"/>
          <w:lang w:eastAsia="ja-JP"/>
        </w:rPr>
        <w:t xml:space="preserve"> </w:t>
      </w:r>
      <w:r>
        <w:rPr>
          <w:rFonts w:ascii="Arial" w:hAnsi="Arial" w:cs="Arial"/>
          <w:b/>
          <w:noProof/>
          <w:sz w:val="24"/>
          <w:lang w:eastAsia="ja-JP"/>
        </w:rPr>
        <w:t>17</w:t>
      </w:r>
      <w:r w:rsidR="00BE3E00" w:rsidRPr="00C23838">
        <w:rPr>
          <w:rFonts w:ascii="Arial" w:hAnsi="Arial" w:cs="Arial"/>
          <w:b/>
          <w:noProof/>
          <w:sz w:val="24"/>
          <w:vertAlign w:val="superscript"/>
          <w:lang w:eastAsia="ja-JP"/>
        </w:rPr>
        <w:t>th</w:t>
      </w:r>
      <w:r w:rsidR="00BE3E00">
        <w:rPr>
          <w:rFonts w:ascii="Arial" w:hAnsi="Arial" w:cs="Arial" w:hint="eastAsia"/>
          <w:b/>
          <w:noProof/>
          <w:sz w:val="24"/>
          <w:lang w:eastAsia="ja-JP"/>
        </w:rPr>
        <w:t xml:space="preserve"> </w:t>
      </w:r>
      <w:r>
        <w:rPr>
          <w:rFonts w:ascii="Arial" w:hAnsi="Arial" w:cs="Arial"/>
          <w:b/>
          <w:noProof/>
          <w:sz w:val="24"/>
          <w:lang w:eastAsia="ja-JP"/>
        </w:rPr>
        <w:t>May</w:t>
      </w:r>
      <w:r w:rsidR="00BE3E00" w:rsidRPr="00096656">
        <w:rPr>
          <w:rFonts w:ascii="Arial" w:hAnsi="Arial" w:cs="Arial"/>
          <w:b/>
          <w:noProof/>
          <w:sz w:val="24"/>
        </w:rPr>
        <w:t xml:space="preserve"> 201</w:t>
      </w:r>
      <w:r w:rsidR="00BE3E00">
        <w:rPr>
          <w:rFonts w:ascii="Arial" w:hAnsi="Arial" w:cs="Arial" w:hint="eastAsia"/>
          <w:b/>
          <w:noProof/>
          <w:sz w:val="24"/>
          <w:lang w:eastAsia="ja-JP"/>
        </w:rPr>
        <w:t>9</w:t>
      </w:r>
    </w:p>
    <w:p w:rsidR="00E7460A" w:rsidRPr="00112CAA" w:rsidRDefault="00E7460A" w:rsidP="00E7460A">
      <w:pPr>
        <w:spacing w:after="120"/>
        <w:ind w:left="1985" w:hanging="1985"/>
        <w:rPr>
          <w:rFonts w:ascii="Arial" w:hAnsi="Arial" w:cs="Arial"/>
          <w:b/>
          <w:noProof/>
          <w:sz w:val="24"/>
        </w:rPr>
      </w:pPr>
    </w:p>
    <w:p w:rsidR="00EF74A9" w:rsidRPr="003C3FCA"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3A1FAD" w:rsidRPr="003A1FAD">
        <w:rPr>
          <w:rFonts w:ascii="Arial" w:hAnsi="Arial"/>
          <w:sz w:val="24"/>
          <w:lang w:val="en-US"/>
        </w:rPr>
        <w:t>6.7.2.4.1</w:t>
      </w:r>
      <w:r w:rsidR="003A1FAD" w:rsidRPr="003A1FAD">
        <w:rPr>
          <w:rFonts w:ascii="Arial" w:hAnsi="Arial"/>
          <w:sz w:val="24"/>
          <w:lang w:val="en-US"/>
        </w:rPr>
        <w:tab/>
        <w:t xml:space="preserve">TAE </w:t>
      </w:r>
      <w:r w:rsidR="003A1FAD" w:rsidRPr="003A1FAD">
        <w:rPr>
          <w:rFonts w:ascii="Arial" w:hAnsi="Arial"/>
          <w:sz w:val="24"/>
          <w:lang w:val="en-US"/>
        </w:rPr>
        <w:tab/>
        <w:t>[NR_newRAT-Core]</w:t>
      </w:r>
    </w:p>
    <w:p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7151DB">
        <w:rPr>
          <w:rFonts w:ascii="Arial" w:hAnsi="Arial"/>
          <w:sz w:val="24"/>
          <w:lang w:val="en-US" w:eastAsia="ja-JP"/>
        </w:rPr>
        <w:t>NR TAE for intra- band non-contiguous CA</w:t>
      </w:r>
    </w:p>
    <w:p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rsidR="00E7460A" w:rsidRPr="007B3B93" w:rsidRDefault="00E7460A" w:rsidP="006475B9">
      <w:pPr>
        <w:pStyle w:val="1"/>
        <w:numPr>
          <w:ilvl w:val="0"/>
          <w:numId w:val="2"/>
        </w:numPr>
        <w:ind w:left="567" w:hanging="567"/>
      </w:pPr>
      <w:r w:rsidRPr="007B3B93">
        <w:t>Introduction</w:t>
      </w:r>
    </w:p>
    <w:p w:rsidR="00E105C4" w:rsidRPr="00251779" w:rsidRDefault="00A33BED" w:rsidP="00E105C4">
      <w:pPr>
        <w:jc w:val="both"/>
        <w:rPr>
          <w:lang w:val="en-US" w:eastAsia="ja-JP"/>
        </w:rPr>
      </w:pPr>
      <w:r>
        <w:rPr>
          <w:lang w:val="en-US" w:eastAsia="ja-JP"/>
        </w:rPr>
        <w:t xml:space="preserve">In </w:t>
      </w:r>
      <w:r w:rsidR="00251779">
        <w:rPr>
          <w:lang w:val="en-US" w:eastAsia="ja-JP"/>
        </w:rPr>
        <w:t xml:space="preserve">the </w:t>
      </w:r>
      <w:r w:rsidR="007151DB">
        <w:rPr>
          <w:lang w:val="en-US" w:eastAsia="ja-JP"/>
        </w:rPr>
        <w:t xml:space="preserve">last RAN4 meeting, </w:t>
      </w:r>
      <w:r w:rsidR="00E105C4">
        <w:rPr>
          <w:lang w:val="en-US" w:eastAsia="ja-JP"/>
        </w:rPr>
        <w:t xml:space="preserve">changing </w:t>
      </w:r>
      <w:r w:rsidR="007151DB">
        <w:rPr>
          <w:lang w:val="en-US" w:eastAsia="ja-JP"/>
        </w:rPr>
        <w:t>TAE and MRTD for i</w:t>
      </w:r>
      <w:r w:rsidR="00E105C4">
        <w:rPr>
          <w:lang w:val="en-US" w:eastAsia="ja-JP"/>
        </w:rPr>
        <w:t>ntra-band non-contiguous CA were further discussed, however no consensus was reached.</w:t>
      </w:r>
      <w:r w:rsidR="00251779">
        <w:rPr>
          <w:lang w:val="en-US" w:eastAsia="ja-JP"/>
        </w:rPr>
        <w:t xml:space="preserve"> The values</w:t>
      </w:r>
      <w:r w:rsidR="00E105C4">
        <w:rPr>
          <w:lang w:val="en-US" w:eastAsia="ja-JP"/>
        </w:rPr>
        <w:t xml:space="preserve"> proposed by</w:t>
      </w:r>
      <w:r w:rsidR="00251779">
        <w:rPr>
          <w:lang w:val="en-US" w:eastAsia="ja-JP"/>
        </w:rPr>
        <w:t xml:space="preserve"> different companies are summarized in WF </w:t>
      </w:r>
      <w:r w:rsidR="00251779" w:rsidRPr="00252154">
        <w:rPr>
          <w:lang w:val="en-US" w:eastAsia="ja-JP"/>
        </w:rPr>
        <w:t>[</w:t>
      </w:r>
      <w:r w:rsidR="00047351" w:rsidRPr="00252154">
        <w:rPr>
          <w:lang w:val="en-US" w:eastAsia="ja-JP"/>
        </w:rPr>
        <w:t>1</w:t>
      </w:r>
      <w:r w:rsidR="00251779" w:rsidRPr="00252154">
        <w:rPr>
          <w:lang w:val="en-US" w:eastAsia="ja-JP"/>
        </w:rPr>
        <w:t>]. NOT</w:t>
      </w:r>
      <w:r w:rsidR="00251779">
        <w:rPr>
          <w:lang w:val="en-US" w:eastAsia="ja-JP"/>
        </w:rPr>
        <w:t>E: This WF is just for information since it was noted.</w:t>
      </w:r>
      <w:r w:rsidR="00E105C4">
        <w:rPr>
          <w:lang w:val="en-US" w:eastAsia="ja-JP"/>
        </w:rPr>
        <w:t xml:space="preserve"> </w:t>
      </w:r>
      <w:r w:rsidR="00E105C4">
        <w:rPr>
          <w:rFonts w:hint="eastAsia"/>
          <w:lang w:val="en-US" w:eastAsia="ja-JP"/>
        </w:rPr>
        <w:t xml:space="preserve">In this contribution, </w:t>
      </w:r>
      <w:r w:rsidR="00E105C4">
        <w:rPr>
          <w:lang w:val="en-US" w:eastAsia="ja-JP"/>
        </w:rPr>
        <w:t>we further discuss on TAE and MRTD from BS perspective and provide our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E105C4" w:rsidRPr="00372348" w:rsidTr="00372348">
        <w:tc>
          <w:tcPr>
            <w:tcW w:w="9839" w:type="dxa"/>
            <w:shd w:val="clear" w:color="auto" w:fill="auto"/>
          </w:tcPr>
          <w:p w:rsidR="00E105C4" w:rsidRPr="00372348" w:rsidRDefault="00E105C4" w:rsidP="00372348">
            <w:pPr>
              <w:jc w:val="both"/>
              <w:rPr>
                <w:rFonts w:ascii="Tms Rmn" w:eastAsia="SimSun" w:hAnsi="Tms Rmn"/>
                <w:i/>
                <w:lang w:val="sv-SE" w:eastAsia="ja-JP"/>
              </w:rPr>
            </w:pPr>
            <w:r w:rsidRPr="00372348">
              <w:rPr>
                <w:rFonts w:ascii="Tms Rmn" w:eastAsia="SimSun" w:hAnsi="Tms Rmn"/>
                <w:i/>
                <w:lang w:val="sv-SE" w:eastAsia="ja-JP"/>
              </w:rPr>
              <w:t>BS TAE</w:t>
            </w:r>
          </w:p>
          <w:p w:rsidR="00E105C4" w:rsidRPr="00372348" w:rsidRDefault="00E105C4" w:rsidP="00372348">
            <w:pPr>
              <w:numPr>
                <w:ilvl w:val="0"/>
                <w:numId w:val="9"/>
              </w:numPr>
              <w:jc w:val="both"/>
              <w:rPr>
                <w:rFonts w:ascii="Tms Rmn" w:eastAsia="SimSun" w:hAnsi="Tms Rmn"/>
                <w:i/>
                <w:lang w:val="en-US" w:eastAsia="ja-JP"/>
              </w:rPr>
            </w:pPr>
            <w:r w:rsidRPr="00372348">
              <w:rPr>
                <w:rFonts w:ascii="Tms Rmn" w:eastAsia="SimSun" w:hAnsi="Tms Rmn"/>
                <w:i/>
                <w:lang w:eastAsia="ja-JP"/>
              </w:rPr>
              <w:t>Decouple the BS TAE discussions for FR1 and FR2.</w:t>
            </w:r>
          </w:p>
          <w:p w:rsidR="00E105C4" w:rsidRPr="00372348" w:rsidRDefault="00E105C4" w:rsidP="00372348">
            <w:pPr>
              <w:numPr>
                <w:ilvl w:val="0"/>
                <w:numId w:val="9"/>
              </w:numPr>
              <w:jc w:val="both"/>
              <w:rPr>
                <w:rFonts w:ascii="Tms Rmn" w:eastAsia="SimSun" w:hAnsi="Tms Rmn"/>
                <w:i/>
                <w:lang w:val="en-US" w:eastAsia="ja-JP"/>
              </w:rPr>
            </w:pPr>
            <w:r w:rsidRPr="00372348">
              <w:rPr>
                <w:rFonts w:ascii="Tms Rmn" w:eastAsia="SimSun" w:hAnsi="Tms Rmn"/>
                <w:i/>
                <w:lang w:eastAsia="ja-JP"/>
              </w:rPr>
              <w:t xml:space="preserve">Consider the following: </w:t>
            </w:r>
          </w:p>
          <w:p w:rsidR="00E105C4" w:rsidRPr="00372348" w:rsidRDefault="00E105C4" w:rsidP="00372348">
            <w:pPr>
              <w:numPr>
                <w:ilvl w:val="1"/>
                <w:numId w:val="9"/>
              </w:numPr>
              <w:jc w:val="both"/>
              <w:rPr>
                <w:rFonts w:ascii="Tms Rmn" w:eastAsia="SimSun" w:hAnsi="Tms Rmn"/>
                <w:i/>
                <w:lang w:val="en-US" w:eastAsia="ja-JP"/>
              </w:rPr>
            </w:pPr>
            <w:r w:rsidRPr="00372348">
              <w:rPr>
                <w:rFonts w:ascii="Tms Rmn" w:eastAsia="SimSun" w:hAnsi="Tms Rmn"/>
                <w:i/>
                <w:lang w:eastAsia="ja-JP"/>
              </w:rPr>
              <w:t>BS TAE for FR1 Intra-band non-contiguous CA to be [3]us</w:t>
            </w:r>
          </w:p>
          <w:p w:rsidR="00E105C4" w:rsidRPr="00372348" w:rsidRDefault="00E105C4" w:rsidP="00372348">
            <w:pPr>
              <w:numPr>
                <w:ilvl w:val="2"/>
                <w:numId w:val="9"/>
              </w:numPr>
              <w:jc w:val="both"/>
              <w:rPr>
                <w:rFonts w:ascii="Tms Rmn" w:eastAsia="SimSun" w:hAnsi="Tms Rmn"/>
                <w:i/>
                <w:lang w:val="en-US" w:eastAsia="ja-JP"/>
              </w:rPr>
            </w:pPr>
            <w:r w:rsidRPr="00372348">
              <w:rPr>
                <w:rFonts w:ascii="Tms Rmn" w:eastAsia="SimSun" w:hAnsi="Tms Rmn"/>
                <w:i/>
                <w:lang w:eastAsia="ja-JP"/>
              </w:rPr>
              <w:t>ZTE, HW, Samsung, CATT: 3us</w:t>
            </w:r>
          </w:p>
          <w:p w:rsidR="00E105C4" w:rsidRPr="00372348" w:rsidRDefault="00E105C4" w:rsidP="00372348">
            <w:pPr>
              <w:numPr>
                <w:ilvl w:val="2"/>
                <w:numId w:val="9"/>
              </w:numPr>
              <w:jc w:val="both"/>
              <w:rPr>
                <w:rFonts w:ascii="Tms Rmn" w:eastAsia="SimSun" w:hAnsi="Tms Rmn"/>
                <w:i/>
                <w:lang w:val="en-US" w:eastAsia="ja-JP"/>
              </w:rPr>
            </w:pPr>
            <w:r w:rsidRPr="00372348">
              <w:rPr>
                <w:rFonts w:ascii="Tms Rmn" w:eastAsia="SimSun" w:hAnsi="Tms Rmn"/>
                <w:i/>
                <w:lang w:eastAsia="ja-JP"/>
              </w:rPr>
              <w:t>Ericsson, Intel, MediaTek, Nokia, Qualcomm: 260ns</w:t>
            </w:r>
          </w:p>
          <w:p w:rsidR="00E105C4" w:rsidRPr="00372348" w:rsidRDefault="00E105C4" w:rsidP="00372348">
            <w:pPr>
              <w:numPr>
                <w:ilvl w:val="1"/>
                <w:numId w:val="9"/>
              </w:numPr>
              <w:jc w:val="both"/>
              <w:rPr>
                <w:rFonts w:ascii="Tms Rmn" w:eastAsia="SimSun" w:hAnsi="Tms Rmn"/>
                <w:i/>
                <w:lang w:val="en-US" w:eastAsia="ja-JP"/>
              </w:rPr>
            </w:pPr>
            <w:r w:rsidRPr="00372348">
              <w:rPr>
                <w:rFonts w:ascii="Tms Rmn" w:eastAsia="SimSun" w:hAnsi="Tms Rmn"/>
                <w:i/>
                <w:lang w:eastAsia="ja-JP"/>
              </w:rPr>
              <w:t>BS TAE for FR2 Intra-band non-contiguous CA to be [3]us</w:t>
            </w:r>
          </w:p>
          <w:p w:rsidR="00E105C4" w:rsidRPr="00372348" w:rsidRDefault="00E105C4" w:rsidP="00372348">
            <w:pPr>
              <w:numPr>
                <w:ilvl w:val="2"/>
                <w:numId w:val="9"/>
              </w:numPr>
              <w:jc w:val="both"/>
              <w:rPr>
                <w:rFonts w:ascii="Tms Rmn" w:eastAsia="SimSun" w:hAnsi="Tms Rmn"/>
                <w:i/>
                <w:lang w:val="en-US" w:eastAsia="ja-JP"/>
              </w:rPr>
            </w:pPr>
            <w:r w:rsidRPr="00372348">
              <w:rPr>
                <w:rFonts w:ascii="Tms Rmn" w:eastAsia="SimSun" w:hAnsi="Tms Rmn"/>
                <w:i/>
                <w:lang w:eastAsia="ja-JP"/>
              </w:rPr>
              <w:t>ZTE, HW: 3us</w:t>
            </w:r>
          </w:p>
          <w:p w:rsidR="00E105C4" w:rsidRPr="00372348" w:rsidRDefault="00E105C4" w:rsidP="00372348">
            <w:pPr>
              <w:numPr>
                <w:ilvl w:val="2"/>
                <w:numId w:val="9"/>
              </w:numPr>
              <w:jc w:val="both"/>
              <w:rPr>
                <w:rFonts w:ascii="Tms Rmn" w:eastAsia="SimSun" w:hAnsi="Tms Rmn"/>
                <w:i/>
                <w:lang w:val="en-US" w:eastAsia="ja-JP"/>
              </w:rPr>
            </w:pPr>
            <w:r w:rsidRPr="00372348">
              <w:rPr>
                <w:rFonts w:ascii="Tms Rmn" w:eastAsia="SimSun" w:hAnsi="Tms Rmn"/>
                <w:i/>
                <w:lang w:eastAsia="ja-JP"/>
              </w:rPr>
              <w:t>Nokia, Ericsson, MediaTek, Intel, Samsung: 260ns</w:t>
            </w:r>
          </w:p>
          <w:p w:rsidR="00E105C4" w:rsidRPr="00372348" w:rsidRDefault="00E105C4" w:rsidP="00372348">
            <w:pPr>
              <w:numPr>
                <w:ilvl w:val="2"/>
                <w:numId w:val="9"/>
              </w:numPr>
              <w:jc w:val="both"/>
              <w:rPr>
                <w:rFonts w:ascii="Tms Rmn" w:eastAsia="SimSun" w:hAnsi="Tms Rmn"/>
                <w:i/>
                <w:lang w:val="en-US" w:eastAsia="ja-JP"/>
              </w:rPr>
            </w:pPr>
            <w:r w:rsidRPr="00372348">
              <w:rPr>
                <w:rFonts w:ascii="Tms Rmn" w:eastAsia="SimSun" w:hAnsi="Tms Rmn"/>
                <w:i/>
                <w:lang w:eastAsia="ja-JP"/>
              </w:rPr>
              <w:t>Qualcomm: 130ns</w:t>
            </w:r>
          </w:p>
          <w:p w:rsidR="00E105C4" w:rsidRPr="00372348" w:rsidRDefault="00E105C4" w:rsidP="00372348">
            <w:pPr>
              <w:jc w:val="both"/>
              <w:rPr>
                <w:rFonts w:ascii="Tms Rmn" w:eastAsia="SimSun" w:hAnsi="Tms Rmn"/>
                <w:i/>
                <w:lang w:val="sv-SE" w:eastAsia="ja-JP"/>
              </w:rPr>
            </w:pPr>
            <w:r w:rsidRPr="00372348">
              <w:rPr>
                <w:rFonts w:ascii="Tms Rmn" w:eastAsia="SimSun" w:hAnsi="Tms Rmn"/>
                <w:i/>
                <w:lang w:val="sv-SE" w:eastAsia="ja-JP"/>
              </w:rPr>
              <w:t>MRTD specification for intra-band NC CA</w:t>
            </w:r>
          </w:p>
          <w:p w:rsidR="00E105C4" w:rsidRPr="00372348" w:rsidRDefault="00E105C4" w:rsidP="00372348">
            <w:pPr>
              <w:numPr>
                <w:ilvl w:val="0"/>
                <w:numId w:val="11"/>
              </w:numPr>
              <w:jc w:val="both"/>
              <w:rPr>
                <w:rFonts w:ascii="Tms Rmn" w:eastAsia="SimSun" w:hAnsi="Tms Rmn"/>
                <w:i/>
                <w:lang w:val="en-US" w:eastAsia="ja-JP"/>
              </w:rPr>
            </w:pPr>
            <w:r w:rsidRPr="00372348">
              <w:rPr>
                <w:rFonts w:ascii="Tms Rmn" w:eastAsia="SimSun" w:hAnsi="Tms Rmn"/>
                <w:i/>
                <w:lang w:val="sv-SE" w:eastAsia="ja-JP"/>
              </w:rPr>
              <w:t>Define the MRTD specification as follows in Section 7.6.4, TS 38.133:</w:t>
            </w:r>
          </w:p>
          <w:p w:rsidR="00E105C4" w:rsidRPr="00372348" w:rsidRDefault="00E105C4" w:rsidP="00372348">
            <w:pPr>
              <w:jc w:val="center"/>
              <w:rPr>
                <w:rFonts w:ascii="Arial" w:eastAsia="SimSun" w:hAnsi="Arial"/>
                <w:b/>
                <w:i/>
                <w:lang w:eastAsia="ja-JP"/>
              </w:rPr>
            </w:pPr>
            <w:r w:rsidRPr="00372348">
              <w:rPr>
                <w:rFonts w:ascii="Arial" w:eastAsia="SimSun" w:hAnsi="Arial"/>
                <w:b/>
                <w:i/>
                <w:lang w:eastAsia="ja-JP"/>
              </w:rPr>
              <w:t>Table 7.6.4-1: Maximum receive timing difference requirement for intra-band non-contiguous NR carrier aggregation</w:t>
            </w:r>
          </w:p>
          <w:tbl>
            <w:tblPr>
              <w:tblW w:w="5743" w:type="dxa"/>
              <w:jc w:val="center"/>
              <w:tblCellMar>
                <w:left w:w="0" w:type="dxa"/>
                <w:right w:w="0" w:type="dxa"/>
              </w:tblCellMar>
              <w:tblLook w:val="04A0" w:firstRow="1" w:lastRow="0" w:firstColumn="1" w:lastColumn="0" w:noHBand="0" w:noVBand="1"/>
            </w:tblPr>
            <w:tblGrid>
              <w:gridCol w:w="2463"/>
              <w:gridCol w:w="3280"/>
            </w:tblGrid>
            <w:tr w:rsidR="00E105C4" w:rsidRPr="00251779" w:rsidTr="007D2CBF">
              <w:trPr>
                <w:trHeight w:val="517"/>
                <w:jc w:val="center"/>
              </w:trPr>
              <w:tc>
                <w:tcPr>
                  <w:tcW w:w="246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E105C4" w:rsidRPr="00251779" w:rsidRDefault="00E105C4" w:rsidP="00E105C4">
                  <w:pPr>
                    <w:spacing w:after="0"/>
                    <w:jc w:val="center"/>
                    <w:rPr>
                      <w:rFonts w:ascii="Arial" w:eastAsia="ＭＳ Ｐゴシック" w:hAnsi="Arial" w:cs="Arial"/>
                      <w:i/>
                      <w:sz w:val="22"/>
                      <w:szCs w:val="36"/>
                      <w:lang w:val="en-US" w:eastAsia="ja-JP"/>
                    </w:rPr>
                  </w:pPr>
                  <w:r w:rsidRPr="00251779">
                    <w:rPr>
                      <w:rFonts w:ascii="Calibri" w:eastAsia="ＭＳ Ｐゴシック" w:hAnsi="Calibri" w:cs="Calibri"/>
                      <w:b/>
                      <w:bCs/>
                      <w:i/>
                      <w:color w:val="FFFFFF"/>
                      <w:kern w:val="24"/>
                      <w:sz w:val="22"/>
                      <w:szCs w:val="36"/>
                      <w:lang w:eastAsia="ja-JP"/>
                    </w:rPr>
                    <w:t>Frequency Range</w:t>
                  </w:r>
                </w:p>
              </w:tc>
              <w:tc>
                <w:tcPr>
                  <w:tcW w:w="328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E105C4" w:rsidRPr="00251779" w:rsidRDefault="00E105C4" w:rsidP="00E105C4">
                  <w:pPr>
                    <w:spacing w:after="0"/>
                    <w:jc w:val="center"/>
                    <w:rPr>
                      <w:rFonts w:ascii="Arial" w:eastAsia="ＭＳ Ｐゴシック" w:hAnsi="Arial" w:cs="Arial"/>
                      <w:i/>
                      <w:sz w:val="22"/>
                      <w:szCs w:val="36"/>
                      <w:lang w:val="en-US" w:eastAsia="ja-JP"/>
                    </w:rPr>
                  </w:pPr>
                  <w:r w:rsidRPr="00251779">
                    <w:rPr>
                      <w:rFonts w:ascii="Calibri" w:eastAsia="ＭＳ Ｐゴシック" w:hAnsi="Calibri" w:cs="Calibri"/>
                      <w:b/>
                      <w:bCs/>
                      <w:i/>
                      <w:color w:val="FFFFFF"/>
                      <w:kern w:val="24"/>
                      <w:sz w:val="22"/>
                      <w:szCs w:val="36"/>
                      <w:lang w:eastAsia="ja-JP"/>
                    </w:rPr>
                    <w:t xml:space="preserve">Maximum receive timing difference (µs) </w:t>
                  </w:r>
                </w:p>
              </w:tc>
            </w:tr>
            <w:tr w:rsidR="00E105C4" w:rsidRPr="00251779" w:rsidTr="007D2CBF">
              <w:trPr>
                <w:trHeight w:val="258"/>
                <w:jc w:val="center"/>
              </w:trPr>
              <w:tc>
                <w:tcPr>
                  <w:tcW w:w="2463"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E105C4" w:rsidRPr="00251779" w:rsidRDefault="00E105C4" w:rsidP="00E105C4">
                  <w:pPr>
                    <w:spacing w:after="0"/>
                    <w:jc w:val="center"/>
                    <w:rPr>
                      <w:rFonts w:ascii="Arial" w:eastAsia="ＭＳ Ｐゴシック" w:hAnsi="Arial" w:cs="Arial"/>
                      <w:i/>
                      <w:sz w:val="22"/>
                      <w:szCs w:val="36"/>
                      <w:lang w:val="en-US" w:eastAsia="ja-JP"/>
                    </w:rPr>
                  </w:pPr>
                  <w:r w:rsidRPr="00251779">
                    <w:rPr>
                      <w:rFonts w:ascii="Calibri" w:eastAsia="ＭＳ Ｐゴシック" w:hAnsi="Calibri" w:cs="Calibri"/>
                      <w:b/>
                      <w:bCs/>
                      <w:i/>
                      <w:color w:val="FFFFFF"/>
                      <w:kern w:val="24"/>
                      <w:sz w:val="22"/>
                      <w:szCs w:val="36"/>
                      <w:lang w:eastAsia="ja-JP"/>
                    </w:rPr>
                    <w:t>FR1</w:t>
                  </w:r>
                </w:p>
              </w:tc>
              <w:tc>
                <w:tcPr>
                  <w:tcW w:w="328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E105C4" w:rsidRPr="00251779" w:rsidRDefault="00E105C4" w:rsidP="00E105C4">
                  <w:pPr>
                    <w:spacing w:after="0"/>
                    <w:jc w:val="center"/>
                    <w:rPr>
                      <w:rFonts w:ascii="Arial" w:eastAsia="ＭＳ Ｐゴシック" w:hAnsi="Arial" w:cs="Arial"/>
                      <w:i/>
                      <w:sz w:val="22"/>
                      <w:szCs w:val="36"/>
                      <w:lang w:val="en-US" w:eastAsia="ja-JP"/>
                    </w:rPr>
                  </w:pPr>
                  <w:r w:rsidRPr="00251779">
                    <w:rPr>
                      <w:rFonts w:ascii="Arial" w:eastAsia="Times New Roman" w:hAnsi="Arial"/>
                      <w:i/>
                      <w:color w:val="000000"/>
                      <w:kern w:val="24"/>
                      <w:sz w:val="22"/>
                      <w:szCs w:val="36"/>
                      <w:lang w:eastAsia="ja-JP"/>
                    </w:rPr>
                    <w:t>[3/0.26]</w:t>
                  </w:r>
                </w:p>
              </w:tc>
            </w:tr>
            <w:tr w:rsidR="00E105C4" w:rsidRPr="00251779" w:rsidTr="007D2CBF">
              <w:trPr>
                <w:trHeight w:val="258"/>
                <w:jc w:val="center"/>
              </w:trPr>
              <w:tc>
                <w:tcPr>
                  <w:tcW w:w="2463"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E105C4" w:rsidRPr="00251779" w:rsidRDefault="00E105C4" w:rsidP="00E105C4">
                  <w:pPr>
                    <w:spacing w:after="0"/>
                    <w:jc w:val="center"/>
                    <w:rPr>
                      <w:rFonts w:ascii="Arial" w:eastAsia="ＭＳ Ｐゴシック" w:hAnsi="Arial" w:cs="Arial"/>
                      <w:i/>
                      <w:sz w:val="22"/>
                      <w:szCs w:val="36"/>
                      <w:lang w:val="en-US" w:eastAsia="ja-JP"/>
                    </w:rPr>
                  </w:pPr>
                  <w:r w:rsidRPr="00251779">
                    <w:rPr>
                      <w:rFonts w:ascii="Calibri" w:eastAsia="ＭＳ Ｐゴシック" w:hAnsi="Calibri" w:cs="Calibri"/>
                      <w:b/>
                      <w:bCs/>
                      <w:i/>
                      <w:color w:val="FFFFFF"/>
                      <w:kern w:val="24"/>
                      <w:sz w:val="22"/>
                      <w:szCs w:val="36"/>
                      <w:lang w:eastAsia="ja-JP"/>
                    </w:rPr>
                    <w:t>FR2</w:t>
                  </w:r>
                </w:p>
              </w:tc>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E105C4" w:rsidRPr="00251779" w:rsidRDefault="00E105C4" w:rsidP="00E105C4">
                  <w:pPr>
                    <w:spacing w:after="0"/>
                    <w:jc w:val="center"/>
                    <w:rPr>
                      <w:rFonts w:ascii="Arial" w:eastAsia="ＭＳ Ｐゴシック" w:hAnsi="Arial" w:cs="Arial"/>
                      <w:i/>
                      <w:sz w:val="22"/>
                      <w:szCs w:val="36"/>
                      <w:lang w:val="en-US" w:eastAsia="ja-JP"/>
                    </w:rPr>
                  </w:pPr>
                  <w:r w:rsidRPr="00251779">
                    <w:rPr>
                      <w:rFonts w:ascii="Calibri" w:eastAsia="ＭＳ Ｐゴシック" w:hAnsi="Calibri" w:cs="Calibri"/>
                      <w:i/>
                      <w:color w:val="000000"/>
                      <w:kern w:val="24"/>
                      <w:sz w:val="22"/>
                      <w:szCs w:val="36"/>
                      <w:lang w:eastAsia="ja-JP"/>
                    </w:rPr>
                    <w:t>[3/0.26/0.13]</w:t>
                  </w:r>
                </w:p>
              </w:tc>
            </w:tr>
          </w:tbl>
          <w:p w:rsidR="00E105C4" w:rsidRPr="00372348" w:rsidRDefault="00E105C4" w:rsidP="00372348">
            <w:pPr>
              <w:jc w:val="both"/>
              <w:rPr>
                <w:rFonts w:ascii="Tms Rmn" w:eastAsia="SimSun" w:hAnsi="Tms Rmn"/>
                <w:lang w:val="en-US" w:eastAsia="ja-JP"/>
              </w:rPr>
            </w:pPr>
          </w:p>
          <w:p w:rsidR="00E105C4" w:rsidRPr="00372348" w:rsidRDefault="00E105C4" w:rsidP="00372348">
            <w:pPr>
              <w:jc w:val="both"/>
              <w:rPr>
                <w:rFonts w:ascii="Tms Rmn" w:hAnsi="Tms Rmn"/>
                <w:i/>
                <w:lang w:val="sv-SE" w:eastAsia="ja-JP"/>
              </w:rPr>
            </w:pPr>
          </w:p>
        </w:tc>
      </w:tr>
    </w:tbl>
    <w:p w:rsidR="00E105C4" w:rsidRDefault="00E105C4" w:rsidP="007151DB">
      <w:pPr>
        <w:jc w:val="both"/>
        <w:rPr>
          <w:lang w:val="en-US" w:eastAsia="ja-JP"/>
        </w:rPr>
      </w:pPr>
    </w:p>
    <w:p w:rsidR="00A33BED" w:rsidRDefault="00A33BED" w:rsidP="00A33BED">
      <w:pPr>
        <w:pStyle w:val="1"/>
        <w:rPr>
          <w:lang w:val="en-US" w:eastAsia="ja-JP"/>
        </w:rPr>
      </w:pPr>
      <w:r>
        <w:rPr>
          <w:lang w:val="en-US" w:eastAsia="ja-JP"/>
        </w:rPr>
        <w:t>2.</w:t>
      </w:r>
      <w:r>
        <w:rPr>
          <w:lang w:val="en-US" w:eastAsia="ja-JP"/>
        </w:rPr>
        <w:tab/>
        <w:t>Discussion</w:t>
      </w:r>
    </w:p>
    <w:p w:rsidR="00251779" w:rsidRDefault="00774E7C" w:rsidP="00774E7C">
      <w:pPr>
        <w:jc w:val="both"/>
        <w:rPr>
          <w:lang w:eastAsia="ja-JP"/>
        </w:rPr>
      </w:pPr>
      <w:r w:rsidRPr="00774E7C">
        <w:rPr>
          <w:lang w:eastAsia="ja-JP"/>
        </w:rPr>
        <w:t>The current BS RF TAE and UE MRTD requirements for E-UTRA and NR are summarised in Table 1. It can be seen that NR TAE for CA was relaxed compared to E-UTRA TAE for CA. According to section 6.5.3, TR 38.817-</w:t>
      </w:r>
      <w:r w:rsidR="00047351">
        <w:rPr>
          <w:lang w:eastAsia="ja-JP"/>
        </w:rPr>
        <w:t>02 [2</w:t>
      </w:r>
      <w:r w:rsidRPr="00774E7C">
        <w:rPr>
          <w:lang w:eastAsia="ja-JP"/>
        </w:rPr>
        <w:t xml:space="preserve">], in </w:t>
      </w:r>
      <w:r w:rsidRPr="00774E7C">
        <w:rPr>
          <w:lang w:eastAsia="ja-JP"/>
        </w:rPr>
        <w:lastRenderedPageBreak/>
        <w:t xml:space="preserve">TAE for intra-band non-contiguous CA, multiple FFT as UE receiver capability and 30us propagation delay as the deployment scenario were assumed, and non-collocated deployment is allowed, which are similar assumptions as E-UTRA. However, in UE RRM discussion, propagation delay has not been assumed since only co-located deployment scenario was </w:t>
      </w:r>
      <w:r w:rsidR="00E105C4">
        <w:rPr>
          <w:lang w:eastAsia="ja-JP"/>
        </w:rPr>
        <w:t>assumed</w:t>
      </w:r>
      <w:r w:rsidRPr="00774E7C">
        <w:rPr>
          <w:lang w:eastAsia="ja-JP"/>
        </w:rPr>
        <w:t>. The conflict between TAE and MRTD is coming from the different deployment assumptions between BS RF and UE RRM. The alignment of the deployment scenario between BS RF and UE RRM is neces</w:t>
      </w:r>
      <w:r>
        <w:rPr>
          <w:lang w:eastAsia="ja-JP"/>
        </w:rPr>
        <w:t>sary before discussion on revisiting required values</w:t>
      </w:r>
      <w:r w:rsidRPr="00774E7C">
        <w:rPr>
          <w:lang w:eastAsia="ja-JP"/>
        </w:rPr>
        <w:t>.</w:t>
      </w:r>
      <w:r w:rsidR="00251779">
        <w:rPr>
          <w:lang w:eastAsia="ja-JP"/>
        </w:rPr>
        <w:t xml:space="preserve"> </w:t>
      </w:r>
    </w:p>
    <w:p w:rsidR="00251779" w:rsidRPr="00AF23FD" w:rsidRDefault="00251779" w:rsidP="00774E7C">
      <w:pPr>
        <w:jc w:val="both"/>
        <w:rPr>
          <w:b/>
          <w:lang w:eastAsia="ja-JP"/>
        </w:rPr>
      </w:pPr>
      <w:r w:rsidRPr="00AF23FD">
        <w:rPr>
          <w:rFonts w:hint="eastAsia"/>
          <w:b/>
          <w:lang w:eastAsia="ja-JP"/>
        </w:rPr>
        <w:t xml:space="preserve">Observation 1: The current TAE requirements </w:t>
      </w:r>
      <w:r w:rsidRPr="00AF23FD">
        <w:rPr>
          <w:b/>
          <w:lang w:eastAsia="ja-JP"/>
        </w:rPr>
        <w:t>for intra-band non-contiguous CA is based on the assumption that multiple FFT UE receiver and non-collocated BS deployment, which is different from the assumption in UE RRM.</w:t>
      </w:r>
    </w:p>
    <w:p w:rsidR="00251779" w:rsidRPr="00251779" w:rsidRDefault="00251779" w:rsidP="00251779">
      <w:pPr>
        <w:pStyle w:val="TH"/>
        <w:rPr>
          <w:lang w:eastAsia="ja-JP"/>
        </w:rPr>
      </w:pPr>
      <w:r w:rsidRPr="00251779">
        <w:rPr>
          <w:lang w:eastAsia="ja-JP"/>
        </w:rPr>
        <w:t>Table 1: TAE and MRTD in the current specification</w:t>
      </w:r>
      <w:r>
        <w:rPr>
          <w:lang w:eastAsia="ja-JP"/>
        </w:rPr>
        <w:t>s</w:t>
      </w:r>
    </w:p>
    <w:tbl>
      <w:tblPr>
        <w:tblW w:w="5000" w:type="pct"/>
        <w:tblCellMar>
          <w:left w:w="0" w:type="dxa"/>
          <w:right w:w="0" w:type="dxa"/>
        </w:tblCellMar>
        <w:tblLook w:val="0420" w:firstRow="1" w:lastRow="0" w:firstColumn="0" w:lastColumn="0" w:noHBand="0" w:noVBand="1"/>
      </w:tblPr>
      <w:tblGrid>
        <w:gridCol w:w="1139"/>
        <w:gridCol w:w="1631"/>
        <w:gridCol w:w="1192"/>
        <w:gridCol w:w="1191"/>
        <w:gridCol w:w="1201"/>
        <w:gridCol w:w="1191"/>
        <w:gridCol w:w="1191"/>
        <w:gridCol w:w="1193"/>
      </w:tblGrid>
      <w:tr w:rsidR="00FF67A0" w:rsidRPr="00251779" w:rsidTr="00FF67A0">
        <w:trPr>
          <w:trHeight w:val="20"/>
        </w:trPr>
        <w:tc>
          <w:tcPr>
            <w:tcW w:w="1393" w:type="pct"/>
            <w:gridSpan w:val="2"/>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251779" w:rsidRPr="00251779" w:rsidRDefault="00251779" w:rsidP="00251779">
            <w:pPr>
              <w:spacing w:after="0"/>
              <w:rPr>
                <w:rFonts w:eastAsia="ＭＳ Ｐゴシック"/>
                <w:b/>
                <w:szCs w:val="24"/>
                <w:lang w:eastAsia="ja-JP"/>
              </w:rPr>
            </w:pPr>
            <w:r w:rsidRPr="00251779">
              <w:rPr>
                <w:rFonts w:eastAsia="ＭＳ Ｐゴシック"/>
                <w:b/>
                <w:szCs w:val="24"/>
                <w:lang w:eastAsia="ja-JP"/>
              </w:rPr>
              <w:t>CA configuration</w:t>
            </w:r>
          </w:p>
        </w:tc>
        <w:tc>
          <w:tcPr>
            <w:tcW w:w="1804" w:type="pct"/>
            <w:gridSpan w:val="3"/>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BS TAE</w:t>
            </w:r>
          </w:p>
        </w:tc>
        <w:tc>
          <w:tcPr>
            <w:tcW w:w="1802" w:type="pct"/>
            <w:gridSpan w:val="3"/>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UE MRTD</w:t>
            </w:r>
          </w:p>
        </w:tc>
      </w:tr>
      <w:tr w:rsidR="00251779" w:rsidRPr="00251779" w:rsidTr="00FF67A0">
        <w:trPr>
          <w:trHeight w:val="46"/>
        </w:trPr>
        <w:tc>
          <w:tcPr>
            <w:tcW w:w="1393" w:type="pct"/>
            <w:gridSpan w:val="2"/>
            <w:vMerge/>
            <w:tcBorders>
              <w:top w:val="single" w:sz="8" w:space="0" w:color="000000"/>
              <w:left w:val="single" w:sz="8" w:space="0" w:color="000000"/>
              <w:bottom w:val="single" w:sz="8" w:space="0" w:color="000000"/>
              <w:right w:val="single" w:sz="8" w:space="0" w:color="000000"/>
            </w:tcBorders>
            <w:vAlign w:val="center"/>
            <w:hideMark/>
          </w:tcPr>
          <w:p w:rsidR="00251779" w:rsidRPr="00251779" w:rsidRDefault="00251779" w:rsidP="00251779">
            <w:pPr>
              <w:spacing w:after="0"/>
              <w:rPr>
                <w:rFonts w:eastAsia="ＭＳ Ｐゴシック"/>
                <w:b/>
                <w:szCs w:val="24"/>
                <w:lang w:val="en-US" w:eastAsia="ja-JP"/>
              </w:rPr>
            </w:pPr>
          </w:p>
        </w:tc>
        <w:tc>
          <w:tcPr>
            <w:tcW w:w="600" w:type="pct"/>
            <w:vMerge w:val="restart"/>
            <w:tcBorders>
              <w:top w:val="single" w:sz="8" w:space="0" w:color="000000"/>
              <w:left w:val="single" w:sz="8" w:space="0" w:color="000000"/>
              <w:bottom w:val="single" w:sz="8" w:space="0" w:color="000000"/>
              <w:right w:val="single" w:sz="8" w:space="0" w:color="000000"/>
            </w:tcBorders>
            <w:shd w:val="clear" w:color="auto" w:fill="F2DBDB"/>
            <w:tcMar>
              <w:top w:w="72" w:type="dxa"/>
              <w:left w:w="144" w:type="dxa"/>
              <w:bottom w:w="72" w:type="dxa"/>
              <w:right w:w="144" w:type="dxa"/>
            </w:tcMar>
            <w:hideMark/>
          </w:tcPr>
          <w:p w:rsidR="00251779" w:rsidRPr="00251779" w:rsidRDefault="00251779" w:rsidP="00251779">
            <w:pPr>
              <w:spacing w:after="0"/>
              <w:jc w:val="center"/>
              <w:rPr>
                <w:rFonts w:eastAsia="ＭＳ Ｐゴシック"/>
                <w:b/>
                <w:color w:val="000000"/>
                <w:kern w:val="24"/>
                <w:szCs w:val="28"/>
                <w:lang w:val="en-US" w:eastAsia="ja-JP"/>
              </w:rPr>
            </w:pPr>
            <w:r w:rsidRPr="00251779">
              <w:rPr>
                <w:rFonts w:eastAsia="ＭＳ Ｐゴシック"/>
                <w:b/>
                <w:color w:val="000000"/>
                <w:kern w:val="24"/>
                <w:szCs w:val="28"/>
                <w:lang w:val="en-US" w:eastAsia="ja-JP"/>
              </w:rPr>
              <w:t>E-UTRA</w:t>
            </w:r>
          </w:p>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TS36.104</w:t>
            </w:r>
            <w:r w:rsidR="00047351">
              <w:rPr>
                <w:rFonts w:eastAsia="ＭＳ Ｐゴシック"/>
                <w:b/>
                <w:color w:val="000000"/>
                <w:kern w:val="24"/>
                <w:szCs w:val="28"/>
                <w:lang w:val="en-US" w:eastAsia="ja-JP"/>
              </w:rPr>
              <w:t xml:space="preserve"> [3]</w:t>
            </w:r>
          </w:p>
        </w:tc>
        <w:tc>
          <w:tcPr>
            <w:tcW w:w="1205" w:type="pct"/>
            <w:gridSpan w:val="2"/>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251779" w:rsidRPr="00251779" w:rsidRDefault="00251779" w:rsidP="00251779">
            <w:pPr>
              <w:spacing w:after="0"/>
              <w:jc w:val="center"/>
              <w:rPr>
                <w:rFonts w:eastAsia="ＭＳ Ｐゴシック"/>
                <w:b/>
                <w:color w:val="000000"/>
                <w:kern w:val="24"/>
                <w:szCs w:val="28"/>
                <w:lang w:val="en-US" w:eastAsia="ja-JP"/>
              </w:rPr>
            </w:pPr>
            <w:r w:rsidRPr="00251779">
              <w:rPr>
                <w:rFonts w:eastAsia="ＭＳ Ｐゴシック"/>
                <w:b/>
                <w:color w:val="000000"/>
                <w:kern w:val="24"/>
                <w:szCs w:val="28"/>
                <w:lang w:val="en-US" w:eastAsia="ja-JP"/>
              </w:rPr>
              <w:t>NR</w:t>
            </w:r>
          </w:p>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TS38.104</w:t>
            </w:r>
            <w:r w:rsidR="00047351">
              <w:rPr>
                <w:rFonts w:eastAsia="ＭＳ Ｐゴシック"/>
                <w:b/>
                <w:color w:val="000000"/>
                <w:kern w:val="24"/>
                <w:szCs w:val="28"/>
                <w:lang w:val="en-US" w:eastAsia="ja-JP"/>
              </w:rPr>
              <w:t xml:space="preserve"> [4]</w:t>
            </w:r>
          </w:p>
        </w:tc>
        <w:tc>
          <w:tcPr>
            <w:tcW w:w="600" w:type="pct"/>
            <w:vMerge w:val="restart"/>
            <w:tcBorders>
              <w:top w:val="single" w:sz="8" w:space="0" w:color="000000"/>
              <w:left w:val="single" w:sz="8" w:space="0" w:color="000000"/>
              <w:bottom w:val="single" w:sz="8" w:space="0" w:color="000000"/>
              <w:right w:val="single" w:sz="8" w:space="0" w:color="000000"/>
            </w:tcBorders>
            <w:shd w:val="clear" w:color="auto" w:fill="F2DBDB"/>
            <w:tcMar>
              <w:top w:w="72" w:type="dxa"/>
              <w:left w:w="144" w:type="dxa"/>
              <w:bottom w:w="72" w:type="dxa"/>
              <w:right w:w="144" w:type="dxa"/>
            </w:tcMar>
            <w:hideMark/>
          </w:tcPr>
          <w:p w:rsidR="00251779" w:rsidRPr="00251779" w:rsidRDefault="00251779" w:rsidP="00251779">
            <w:pPr>
              <w:spacing w:after="0"/>
              <w:jc w:val="center"/>
              <w:rPr>
                <w:rFonts w:eastAsia="ＭＳ Ｐゴシック"/>
                <w:b/>
                <w:color w:val="000000"/>
                <w:kern w:val="24"/>
                <w:szCs w:val="28"/>
                <w:lang w:val="en-US" w:eastAsia="ja-JP"/>
              </w:rPr>
            </w:pPr>
            <w:r w:rsidRPr="00251779">
              <w:rPr>
                <w:rFonts w:eastAsia="ＭＳ Ｐゴシック"/>
                <w:b/>
                <w:color w:val="000000"/>
                <w:kern w:val="24"/>
                <w:szCs w:val="28"/>
                <w:lang w:val="en-US" w:eastAsia="ja-JP"/>
              </w:rPr>
              <w:t>E-UTRA</w:t>
            </w:r>
          </w:p>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TS36.133</w:t>
            </w:r>
            <w:r w:rsidR="00047351">
              <w:rPr>
                <w:rFonts w:eastAsia="ＭＳ Ｐゴシック"/>
                <w:b/>
                <w:color w:val="000000"/>
                <w:kern w:val="24"/>
                <w:szCs w:val="28"/>
                <w:lang w:val="en-US" w:eastAsia="ja-JP"/>
              </w:rPr>
              <w:t xml:space="preserve"> [5]</w:t>
            </w:r>
          </w:p>
        </w:tc>
        <w:tc>
          <w:tcPr>
            <w:tcW w:w="1203" w:type="pct"/>
            <w:gridSpan w:val="2"/>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251779" w:rsidRPr="00251779" w:rsidRDefault="00251779" w:rsidP="00251779">
            <w:pPr>
              <w:spacing w:after="0"/>
              <w:jc w:val="center"/>
              <w:rPr>
                <w:rFonts w:eastAsia="ＭＳ Ｐゴシック"/>
                <w:b/>
                <w:color w:val="000000"/>
                <w:kern w:val="24"/>
                <w:szCs w:val="28"/>
                <w:lang w:val="en-US" w:eastAsia="ja-JP"/>
              </w:rPr>
            </w:pPr>
            <w:r w:rsidRPr="00251779">
              <w:rPr>
                <w:rFonts w:eastAsia="ＭＳ Ｐゴシック"/>
                <w:b/>
                <w:color w:val="000000"/>
                <w:kern w:val="24"/>
                <w:szCs w:val="28"/>
                <w:lang w:val="en-US" w:eastAsia="ja-JP"/>
              </w:rPr>
              <w:t>NR</w:t>
            </w:r>
          </w:p>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TS38.133</w:t>
            </w:r>
            <w:r w:rsidR="00047351">
              <w:rPr>
                <w:rFonts w:eastAsia="ＭＳ Ｐゴシック"/>
                <w:b/>
                <w:color w:val="000000"/>
                <w:kern w:val="24"/>
                <w:szCs w:val="28"/>
                <w:lang w:val="en-US" w:eastAsia="ja-JP"/>
              </w:rPr>
              <w:t xml:space="preserve"> [6]</w:t>
            </w:r>
          </w:p>
        </w:tc>
      </w:tr>
      <w:tr w:rsidR="00251779" w:rsidRPr="00251779" w:rsidTr="00FF67A0">
        <w:trPr>
          <w:trHeight w:val="20"/>
        </w:trPr>
        <w:tc>
          <w:tcPr>
            <w:tcW w:w="1393" w:type="pct"/>
            <w:gridSpan w:val="2"/>
            <w:vMerge/>
            <w:tcBorders>
              <w:top w:val="single" w:sz="8" w:space="0" w:color="000000"/>
              <w:left w:val="single" w:sz="8" w:space="0" w:color="000000"/>
              <w:bottom w:val="single" w:sz="8" w:space="0" w:color="000000"/>
              <w:right w:val="single" w:sz="8" w:space="0" w:color="000000"/>
            </w:tcBorders>
            <w:vAlign w:val="center"/>
            <w:hideMark/>
          </w:tcPr>
          <w:p w:rsidR="00251779" w:rsidRPr="00251779" w:rsidRDefault="00251779" w:rsidP="00251779">
            <w:pPr>
              <w:spacing w:after="0"/>
              <w:rPr>
                <w:rFonts w:eastAsia="ＭＳ Ｐゴシック"/>
                <w:b/>
                <w:szCs w:val="24"/>
                <w:lang w:val="en-US" w:eastAsia="ja-JP"/>
              </w:rPr>
            </w:pPr>
          </w:p>
        </w:tc>
        <w:tc>
          <w:tcPr>
            <w:tcW w:w="600" w:type="pct"/>
            <w:vMerge/>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251779" w:rsidRPr="00251779" w:rsidRDefault="00251779" w:rsidP="00251779">
            <w:pPr>
              <w:spacing w:after="0"/>
              <w:rPr>
                <w:rFonts w:eastAsia="ＭＳ Ｐゴシック"/>
                <w:b/>
                <w:szCs w:val="36"/>
                <w:lang w:val="en-US" w:eastAsia="ja-JP"/>
              </w:rPr>
            </w:pPr>
          </w:p>
        </w:tc>
        <w:tc>
          <w:tcPr>
            <w:tcW w:w="600"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FR1</w:t>
            </w:r>
          </w:p>
        </w:tc>
        <w:tc>
          <w:tcPr>
            <w:tcW w:w="605"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FR2</w:t>
            </w:r>
          </w:p>
        </w:tc>
        <w:tc>
          <w:tcPr>
            <w:tcW w:w="600" w:type="pct"/>
            <w:vMerge/>
            <w:tcBorders>
              <w:top w:val="single" w:sz="8" w:space="0" w:color="000000"/>
              <w:left w:val="single" w:sz="8" w:space="0" w:color="000000"/>
              <w:bottom w:val="single" w:sz="8" w:space="0" w:color="000000"/>
              <w:right w:val="single" w:sz="8" w:space="0" w:color="000000"/>
            </w:tcBorders>
            <w:shd w:val="clear" w:color="auto" w:fill="F2DBDB"/>
            <w:vAlign w:val="center"/>
            <w:hideMark/>
          </w:tcPr>
          <w:p w:rsidR="00251779" w:rsidRPr="00251779" w:rsidRDefault="00251779" w:rsidP="00251779">
            <w:pPr>
              <w:spacing w:after="0"/>
              <w:rPr>
                <w:rFonts w:eastAsia="ＭＳ Ｐゴシック"/>
                <w:b/>
                <w:szCs w:val="36"/>
                <w:lang w:val="en-US" w:eastAsia="ja-JP"/>
              </w:rPr>
            </w:pPr>
          </w:p>
        </w:tc>
        <w:tc>
          <w:tcPr>
            <w:tcW w:w="600"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FR1</w:t>
            </w:r>
          </w:p>
        </w:tc>
        <w:tc>
          <w:tcPr>
            <w:tcW w:w="603" w:type="pct"/>
            <w:tcBorders>
              <w:top w:val="single" w:sz="8" w:space="0" w:color="000000"/>
              <w:left w:val="single" w:sz="8" w:space="0" w:color="000000"/>
              <w:bottom w:val="single" w:sz="8" w:space="0" w:color="000000"/>
              <w:right w:val="single" w:sz="8" w:space="0" w:color="000000"/>
            </w:tcBorders>
            <w:shd w:val="clear" w:color="auto" w:fill="DBE5F1"/>
            <w:tcMar>
              <w:top w:w="72" w:type="dxa"/>
              <w:left w:w="144" w:type="dxa"/>
              <w:bottom w:w="72" w:type="dxa"/>
              <w:right w:w="144" w:type="dxa"/>
            </w:tcMar>
            <w:hideMark/>
          </w:tcPr>
          <w:p w:rsidR="00251779" w:rsidRPr="00251779" w:rsidRDefault="00251779" w:rsidP="00251779">
            <w:pPr>
              <w:spacing w:after="0"/>
              <w:jc w:val="center"/>
              <w:rPr>
                <w:rFonts w:eastAsia="ＭＳ Ｐゴシック"/>
                <w:b/>
                <w:szCs w:val="36"/>
                <w:lang w:val="en-US" w:eastAsia="ja-JP"/>
              </w:rPr>
            </w:pPr>
            <w:r w:rsidRPr="00251779">
              <w:rPr>
                <w:rFonts w:eastAsia="ＭＳ Ｐゴシック"/>
                <w:b/>
                <w:color w:val="000000"/>
                <w:kern w:val="24"/>
                <w:szCs w:val="28"/>
                <w:lang w:val="en-US" w:eastAsia="ja-JP"/>
              </w:rPr>
              <w:t>FR2</w:t>
            </w:r>
          </w:p>
        </w:tc>
      </w:tr>
      <w:tr w:rsidR="00251779" w:rsidRPr="00251779" w:rsidTr="00FF67A0">
        <w:trPr>
          <w:trHeight w:val="120"/>
        </w:trPr>
        <w:tc>
          <w:tcPr>
            <w:tcW w:w="573" w:type="pct"/>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251779" w:rsidRPr="00251779" w:rsidRDefault="00251779" w:rsidP="00251779">
            <w:pPr>
              <w:spacing w:after="0"/>
              <w:rPr>
                <w:rFonts w:eastAsia="ＭＳ Ｐゴシック"/>
                <w:szCs w:val="36"/>
                <w:lang w:val="en-US" w:eastAsia="ja-JP"/>
              </w:rPr>
            </w:pPr>
            <w:r w:rsidRPr="00251779">
              <w:rPr>
                <w:rFonts w:eastAsia="ＭＳ Ｐゴシック"/>
                <w:color w:val="000000"/>
                <w:kern w:val="24"/>
                <w:szCs w:val="28"/>
                <w:lang w:val="en-US" w:eastAsia="ja-JP"/>
              </w:rPr>
              <w:t>Intra-band CA</w:t>
            </w:r>
          </w:p>
        </w:tc>
        <w:tc>
          <w:tcPr>
            <w:tcW w:w="821"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251779" w:rsidRPr="00251779" w:rsidRDefault="00251779" w:rsidP="00251779">
            <w:pPr>
              <w:spacing w:after="0"/>
              <w:rPr>
                <w:rFonts w:eastAsia="ＭＳ Ｐゴシック"/>
                <w:szCs w:val="36"/>
                <w:lang w:val="en-US" w:eastAsia="ja-JP"/>
              </w:rPr>
            </w:pPr>
            <w:r w:rsidRPr="00251779">
              <w:rPr>
                <w:rFonts w:eastAsia="ＭＳ Ｐゴシック"/>
                <w:color w:val="000000"/>
                <w:kern w:val="24"/>
                <w:szCs w:val="28"/>
                <w:lang w:val="en-US" w:eastAsia="ja-JP"/>
              </w:rPr>
              <w:t>Contiguous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130ns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260ns</w:t>
            </w:r>
          </w:p>
        </w:tc>
        <w:tc>
          <w:tcPr>
            <w:tcW w:w="6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130ns</w:t>
            </w:r>
          </w:p>
        </w:tc>
        <w:tc>
          <w:tcPr>
            <w:tcW w:w="600" w:type="pct"/>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N/A</w:t>
            </w:r>
          </w:p>
        </w:tc>
        <w:tc>
          <w:tcPr>
            <w:tcW w:w="600" w:type="pct"/>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N/A</w:t>
            </w:r>
          </w:p>
        </w:tc>
        <w:tc>
          <w:tcPr>
            <w:tcW w:w="603" w:type="pct"/>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szCs w:val="36"/>
                <w:lang w:val="en-US" w:eastAsia="ja-JP"/>
              </w:rPr>
              <w:t>N/A</w:t>
            </w:r>
          </w:p>
        </w:tc>
      </w:tr>
      <w:tr w:rsidR="00251779" w:rsidRPr="00251779" w:rsidTr="00FF67A0">
        <w:trPr>
          <w:trHeight w:val="153"/>
        </w:trPr>
        <w:tc>
          <w:tcPr>
            <w:tcW w:w="573" w:type="pct"/>
            <w:vMerge/>
            <w:tcBorders>
              <w:top w:val="single" w:sz="8" w:space="0" w:color="000000"/>
              <w:left w:val="single" w:sz="8" w:space="0" w:color="000000"/>
              <w:bottom w:val="single" w:sz="8" w:space="0" w:color="000000"/>
              <w:right w:val="single" w:sz="8" w:space="0" w:color="000000"/>
            </w:tcBorders>
            <w:shd w:val="clear" w:color="auto" w:fill="F2F2F2"/>
            <w:vAlign w:val="center"/>
            <w:hideMark/>
          </w:tcPr>
          <w:p w:rsidR="00251779" w:rsidRPr="00251779" w:rsidRDefault="00251779" w:rsidP="00251779">
            <w:pPr>
              <w:spacing w:after="0"/>
              <w:rPr>
                <w:rFonts w:eastAsia="ＭＳ Ｐゴシック"/>
                <w:szCs w:val="36"/>
                <w:lang w:val="en-US" w:eastAsia="ja-JP"/>
              </w:rPr>
            </w:pPr>
          </w:p>
        </w:tc>
        <w:tc>
          <w:tcPr>
            <w:tcW w:w="821" w:type="pc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251779" w:rsidRPr="00251779" w:rsidRDefault="00251779" w:rsidP="00251779">
            <w:pPr>
              <w:spacing w:after="0"/>
              <w:rPr>
                <w:rFonts w:eastAsia="ＭＳ Ｐゴシック"/>
                <w:szCs w:val="36"/>
                <w:lang w:val="en-US" w:eastAsia="ja-JP"/>
              </w:rPr>
            </w:pPr>
            <w:r w:rsidRPr="00251779">
              <w:rPr>
                <w:rFonts w:eastAsia="ＭＳ Ｐゴシック"/>
                <w:kern w:val="24"/>
                <w:szCs w:val="28"/>
                <w:highlight w:val="yellow"/>
                <w:lang w:val="en-US" w:eastAsia="ja-JP"/>
              </w:rPr>
              <w:t>Non-contiguous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260ns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highlight w:val="yellow"/>
                <w:lang w:val="en-US" w:eastAsia="ja-JP"/>
              </w:rPr>
            </w:pPr>
            <w:r w:rsidRPr="00251779">
              <w:rPr>
                <w:rFonts w:eastAsia="ＭＳ Ｐゴシック"/>
                <w:color w:val="000000"/>
                <w:kern w:val="24"/>
                <w:szCs w:val="28"/>
                <w:highlight w:val="yellow"/>
                <w:lang w:val="en-US" w:eastAsia="ja-JP"/>
              </w:rPr>
              <w:t>3us</w:t>
            </w:r>
          </w:p>
        </w:tc>
        <w:tc>
          <w:tcPr>
            <w:tcW w:w="6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highlight w:val="yellow"/>
                <w:lang w:val="en-US" w:eastAsia="ja-JP"/>
              </w:rPr>
            </w:pPr>
            <w:r w:rsidRPr="00251779">
              <w:rPr>
                <w:rFonts w:eastAsia="ＭＳ Ｐゴシック"/>
                <w:color w:val="000000"/>
                <w:kern w:val="24"/>
                <w:szCs w:val="28"/>
                <w:highlight w:val="yellow"/>
                <w:lang w:val="en-US" w:eastAsia="ja-JP"/>
              </w:rPr>
              <w:t>3us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30.26us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highlight w:val="yellow"/>
                <w:lang w:val="en-US" w:eastAsia="ja-JP"/>
              </w:rPr>
            </w:pPr>
            <w:r w:rsidRPr="00251779">
              <w:rPr>
                <w:rFonts w:eastAsia="ＭＳ Ｐゴシック"/>
                <w:color w:val="000000"/>
                <w:kern w:val="24"/>
                <w:szCs w:val="28"/>
                <w:highlight w:val="yellow"/>
                <w:lang w:val="en-US" w:eastAsia="ja-JP"/>
              </w:rPr>
              <w:t>3us</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highlight w:val="yellow"/>
                <w:lang w:val="en-US" w:eastAsia="ja-JP"/>
              </w:rPr>
            </w:pPr>
            <w:r w:rsidRPr="00251779">
              <w:rPr>
                <w:rFonts w:eastAsia="ＭＳ Ｐゴシック"/>
                <w:color w:val="000000"/>
                <w:kern w:val="24"/>
                <w:szCs w:val="28"/>
                <w:highlight w:val="yellow"/>
                <w:lang w:val="en-US" w:eastAsia="ja-JP"/>
              </w:rPr>
              <w:t>3us</w:t>
            </w:r>
          </w:p>
        </w:tc>
      </w:tr>
      <w:tr w:rsidR="00FF67A0" w:rsidRPr="00251779" w:rsidTr="00FF67A0">
        <w:trPr>
          <w:trHeight w:val="91"/>
        </w:trPr>
        <w:tc>
          <w:tcPr>
            <w:tcW w:w="1393" w:type="pct"/>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rsidR="00251779" w:rsidRPr="00251779" w:rsidRDefault="00251779" w:rsidP="00251779">
            <w:pPr>
              <w:spacing w:after="0"/>
              <w:rPr>
                <w:rFonts w:eastAsia="ＭＳ Ｐゴシック"/>
                <w:szCs w:val="36"/>
                <w:lang w:val="en-US" w:eastAsia="ja-JP"/>
              </w:rPr>
            </w:pPr>
            <w:r w:rsidRPr="00251779">
              <w:rPr>
                <w:rFonts w:eastAsia="ＭＳ Ｐゴシック"/>
                <w:color w:val="000000"/>
                <w:kern w:val="24"/>
                <w:szCs w:val="28"/>
                <w:lang w:val="en-US" w:eastAsia="ja-JP"/>
              </w:rPr>
              <w:t>Inter-band CA</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260ns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3us</w:t>
            </w:r>
          </w:p>
        </w:tc>
        <w:tc>
          <w:tcPr>
            <w:tcW w:w="605"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3us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30.26us</w:t>
            </w:r>
          </w:p>
        </w:tc>
        <w:tc>
          <w:tcPr>
            <w:tcW w:w="6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251779" w:rsidP="00251779">
            <w:pPr>
              <w:spacing w:after="0"/>
              <w:jc w:val="center"/>
              <w:rPr>
                <w:rFonts w:eastAsia="ＭＳ Ｐゴシック"/>
                <w:szCs w:val="36"/>
                <w:lang w:val="en-US" w:eastAsia="ja-JP"/>
              </w:rPr>
            </w:pPr>
            <w:r w:rsidRPr="00251779">
              <w:rPr>
                <w:rFonts w:eastAsia="ＭＳ Ｐゴシック"/>
                <w:color w:val="000000"/>
                <w:kern w:val="24"/>
                <w:szCs w:val="28"/>
                <w:lang w:val="en-US" w:eastAsia="ja-JP"/>
              </w:rPr>
              <w:t>33us</w:t>
            </w:r>
          </w:p>
        </w:tc>
        <w:tc>
          <w:tcPr>
            <w:tcW w:w="60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51779" w:rsidRPr="00251779" w:rsidRDefault="00E105C4" w:rsidP="00251779">
            <w:pPr>
              <w:spacing w:after="0"/>
              <w:jc w:val="center"/>
              <w:rPr>
                <w:rFonts w:eastAsia="ＭＳ Ｐゴシック"/>
                <w:szCs w:val="36"/>
                <w:lang w:val="en-US" w:eastAsia="ja-JP"/>
              </w:rPr>
            </w:pPr>
            <w:r>
              <w:rPr>
                <w:rFonts w:eastAsia="ＭＳ Ｐゴシック"/>
                <w:color w:val="000000"/>
                <w:kern w:val="24"/>
                <w:szCs w:val="28"/>
                <w:lang w:val="en-US" w:eastAsia="ja-JP"/>
              </w:rPr>
              <w:t>8</w:t>
            </w:r>
            <w:r w:rsidR="00251779" w:rsidRPr="00251779">
              <w:rPr>
                <w:rFonts w:eastAsia="ＭＳ Ｐゴシック"/>
                <w:color w:val="000000"/>
                <w:kern w:val="24"/>
                <w:szCs w:val="28"/>
                <w:lang w:val="en-US" w:eastAsia="ja-JP"/>
              </w:rPr>
              <w:t>us</w:t>
            </w:r>
          </w:p>
        </w:tc>
      </w:tr>
    </w:tbl>
    <w:p w:rsidR="00251779" w:rsidRDefault="00251779" w:rsidP="00A33BED">
      <w:pPr>
        <w:rPr>
          <w:b/>
          <w:u w:val="single"/>
          <w:lang w:eastAsia="ja-JP"/>
        </w:rPr>
      </w:pPr>
    </w:p>
    <w:p w:rsidR="00C96A15" w:rsidRDefault="00774E7C" w:rsidP="00774E7C">
      <w:pPr>
        <w:jc w:val="both"/>
        <w:rPr>
          <w:lang w:val="en-US" w:eastAsia="ja-JP"/>
        </w:rPr>
      </w:pPr>
      <w:r>
        <w:rPr>
          <w:lang w:eastAsia="ja-JP"/>
        </w:rPr>
        <w:t>In the last meeting, revisiting TAE and MRTD to smalle</w:t>
      </w:r>
      <w:r w:rsidRPr="00252154">
        <w:rPr>
          <w:lang w:eastAsia="ja-JP"/>
        </w:rPr>
        <w:t>r values were proposed in [</w:t>
      </w:r>
      <w:r w:rsidR="00047351" w:rsidRPr="00252154">
        <w:rPr>
          <w:lang w:eastAsia="ja-JP"/>
        </w:rPr>
        <w:t>7</w:t>
      </w:r>
      <w:r w:rsidRPr="00252154">
        <w:rPr>
          <w:lang w:eastAsia="ja-JP"/>
        </w:rPr>
        <w:t xml:space="preserve">], however </w:t>
      </w:r>
      <w:r w:rsidR="00251779" w:rsidRPr="00252154">
        <w:rPr>
          <w:lang w:eastAsia="ja-JP"/>
        </w:rPr>
        <w:t xml:space="preserve">some companies </w:t>
      </w:r>
      <w:r w:rsidRPr="00252154">
        <w:rPr>
          <w:lang w:eastAsia="ja-JP"/>
        </w:rPr>
        <w:t xml:space="preserve">have </w:t>
      </w:r>
      <w:r w:rsidR="00251779" w:rsidRPr="00252154">
        <w:rPr>
          <w:lang w:eastAsia="ja-JP"/>
        </w:rPr>
        <w:t>concern</w:t>
      </w:r>
      <w:r w:rsidRPr="00252154">
        <w:rPr>
          <w:lang w:eastAsia="ja-JP"/>
        </w:rPr>
        <w:t>s</w:t>
      </w:r>
      <w:r w:rsidR="00251779" w:rsidRPr="00252154">
        <w:rPr>
          <w:lang w:eastAsia="ja-JP"/>
        </w:rPr>
        <w:t xml:space="preserve"> </w:t>
      </w:r>
      <w:r w:rsidR="00B93E9B" w:rsidRPr="00252154">
        <w:rPr>
          <w:lang w:eastAsia="ja-JP"/>
        </w:rPr>
        <w:t>for</w:t>
      </w:r>
      <w:r w:rsidRPr="00252154">
        <w:rPr>
          <w:lang w:eastAsia="ja-JP"/>
        </w:rPr>
        <w:t xml:space="preserve"> </w:t>
      </w:r>
      <w:r w:rsidR="00251779" w:rsidRPr="00252154">
        <w:rPr>
          <w:lang w:eastAsia="ja-JP"/>
        </w:rPr>
        <w:t>non-backward compatible</w:t>
      </w:r>
      <w:r w:rsidRPr="00252154">
        <w:rPr>
          <w:lang w:eastAsia="ja-JP"/>
        </w:rPr>
        <w:t xml:space="preserve"> changes, and no consensus was reached</w:t>
      </w:r>
      <w:r w:rsidR="00251779" w:rsidRPr="00252154">
        <w:rPr>
          <w:lang w:eastAsia="ja-JP"/>
        </w:rPr>
        <w:t>. In [</w:t>
      </w:r>
      <w:r w:rsidR="00047351" w:rsidRPr="00252154">
        <w:rPr>
          <w:lang w:eastAsia="ja-JP"/>
        </w:rPr>
        <w:t>8</w:t>
      </w:r>
      <w:r w:rsidR="00251779" w:rsidRPr="00252154">
        <w:rPr>
          <w:lang w:eastAsia="ja-JP"/>
        </w:rPr>
        <w:t xml:space="preserve">], </w:t>
      </w:r>
      <w:r w:rsidRPr="00252154">
        <w:rPr>
          <w:lang w:eastAsia="ja-JP"/>
        </w:rPr>
        <w:t>one of the concerns was</w:t>
      </w:r>
      <w:r w:rsidR="00251779" w:rsidRPr="00252154">
        <w:rPr>
          <w:lang w:eastAsia="ja-JP"/>
        </w:rPr>
        <w:t xml:space="preserve"> shown from BS implementation and deployment perspective. According to observations in [</w:t>
      </w:r>
      <w:r w:rsidR="00047351" w:rsidRPr="00252154">
        <w:rPr>
          <w:lang w:eastAsia="ja-JP"/>
        </w:rPr>
        <w:t>8</w:t>
      </w:r>
      <w:r w:rsidR="00B93E9B" w:rsidRPr="00252154">
        <w:rPr>
          <w:lang w:eastAsia="ja-JP"/>
        </w:rPr>
        <w:t>], in the multiple RRH</w:t>
      </w:r>
      <w:r w:rsidR="00251779" w:rsidRPr="00252154">
        <w:rPr>
          <w:lang w:eastAsia="ja-JP"/>
        </w:rPr>
        <w:t xml:space="preserve"> case (</w:t>
      </w:r>
      <w:r w:rsidRPr="00252154">
        <w:rPr>
          <w:lang w:eastAsia="ja-JP"/>
        </w:rPr>
        <w:t xml:space="preserve">i.e., inter-RRH case, Case B as shown in </w:t>
      </w:r>
      <w:r w:rsidR="00251779" w:rsidRPr="00252154">
        <w:rPr>
          <w:lang w:eastAsia="ja-JP"/>
        </w:rPr>
        <w:t>Figure 1 [</w:t>
      </w:r>
      <w:r w:rsidR="00252154" w:rsidRPr="00252154">
        <w:rPr>
          <w:lang w:eastAsia="ja-JP"/>
        </w:rPr>
        <w:t>8</w:t>
      </w:r>
      <w:r w:rsidR="00251779" w:rsidRPr="00252154">
        <w:rPr>
          <w:lang w:eastAsia="ja-JP"/>
        </w:rPr>
        <w:t>])</w:t>
      </w:r>
      <w:r w:rsidRPr="00252154">
        <w:rPr>
          <w:lang w:eastAsia="ja-JP"/>
        </w:rPr>
        <w:t xml:space="preserve">, there is the possibility not to achieve TAE </w:t>
      </w:r>
      <w:r w:rsidR="00251779" w:rsidRPr="00252154">
        <w:rPr>
          <w:lang w:eastAsia="ja-JP"/>
        </w:rPr>
        <w:t>since timing module</w:t>
      </w:r>
      <w:r w:rsidRPr="00252154">
        <w:rPr>
          <w:lang w:eastAsia="ja-JP"/>
        </w:rPr>
        <w:t>s are</w:t>
      </w:r>
      <w:r w:rsidR="00B93E9B" w:rsidRPr="00252154">
        <w:rPr>
          <w:lang w:eastAsia="ja-JP"/>
        </w:rPr>
        <w:t xml:space="preserve"> implemented to each RRH</w:t>
      </w:r>
      <w:r w:rsidR="00251779" w:rsidRPr="00252154">
        <w:rPr>
          <w:lang w:eastAsia="ja-JP"/>
        </w:rPr>
        <w:t xml:space="preserve">s independently. On the other hand, </w:t>
      </w:r>
      <w:r w:rsidR="00B93E9B" w:rsidRPr="00252154">
        <w:rPr>
          <w:lang w:eastAsia="ja-JP"/>
        </w:rPr>
        <w:t>in single RRH</w:t>
      </w:r>
      <w:r w:rsidRPr="00252154">
        <w:rPr>
          <w:lang w:eastAsia="ja-JP"/>
        </w:rPr>
        <w:t xml:space="preserve"> case (i.e., intra-RRH case, Case A as shown in Figure 1 [</w:t>
      </w:r>
      <w:r w:rsidR="00252154" w:rsidRPr="00252154">
        <w:rPr>
          <w:lang w:eastAsia="ja-JP"/>
        </w:rPr>
        <w:t>8</w:t>
      </w:r>
      <w:r w:rsidRPr="00252154">
        <w:rPr>
          <w:lang w:eastAsia="ja-JP"/>
        </w:rPr>
        <w:t xml:space="preserve">]), </w:t>
      </w:r>
      <w:r w:rsidR="00251779" w:rsidRPr="00252154">
        <w:rPr>
          <w:lang w:eastAsia="ja-JP"/>
        </w:rPr>
        <w:t>strict TAE value</w:t>
      </w:r>
      <w:r w:rsidRPr="00252154">
        <w:rPr>
          <w:lang w:eastAsia="ja-JP"/>
        </w:rPr>
        <w:t>s</w:t>
      </w:r>
      <w:r w:rsidR="00251779" w:rsidRPr="00252154">
        <w:rPr>
          <w:lang w:eastAsia="ja-JP"/>
        </w:rPr>
        <w:t xml:space="preserve"> (e.g., 260ns for FR</w:t>
      </w:r>
      <w:r w:rsidR="00251779" w:rsidRPr="00251779">
        <w:rPr>
          <w:lang w:eastAsia="ja-JP"/>
        </w:rPr>
        <w:t>1 and 130ns for FR2</w:t>
      </w:r>
      <w:r w:rsidR="00251779">
        <w:rPr>
          <w:lang w:eastAsia="ja-JP"/>
        </w:rPr>
        <w:t>) can be achieved.</w:t>
      </w:r>
      <w:r>
        <w:rPr>
          <w:lang w:val="en-US" w:eastAsia="ja-JP"/>
        </w:rPr>
        <w:t xml:space="preserve"> </w:t>
      </w:r>
      <w:r w:rsidRPr="00774E7C">
        <w:rPr>
          <w:lang w:val="en-US" w:eastAsia="ja-JP"/>
        </w:rPr>
        <w:t>In short, the main concern is for inter-RRH case.</w:t>
      </w:r>
      <w:r w:rsidR="00C9099B">
        <w:rPr>
          <w:rFonts w:hint="eastAsia"/>
          <w:lang w:val="en-US" w:eastAsia="ja-JP"/>
        </w:rPr>
        <w:t xml:space="preserve"> </w:t>
      </w:r>
    </w:p>
    <w:p w:rsidR="00774E7C" w:rsidRDefault="00774E7C" w:rsidP="00774E7C">
      <w:pPr>
        <w:jc w:val="both"/>
        <w:rPr>
          <w:lang w:val="en-US" w:eastAsia="ja-JP"/>
        </w:rPr>
      </w:pPr>
      <w:r>
        <w:rPr>
          <w:lang w:val="en-US" w:eastAsia="ja-JP"/>
        </w:rPr>
        <w:t xml:space="preserve">However, from RAN4 BS RF specification perspective, TAE requirements for inter-RRH are out of scope in BS RF Rel.15 since RAN4 specify the requirements applied for one RRH. In addition, there is no testable method to confirm TAE for inter-RRH. Therefore, this non-backward compatible change might not </w:t>
      </w:r>
      <w:r w:rsidR="00C9099B">
        <w:rPr>
          <w:lang w:val="en-US" w:eastAsia="ja-JP"/>
        </w:rPr>
        <w:t xml:space="preserve">have </w:t>
      </w:r>
      <w:r>
        <w:rPr>
          <w:lang w:val="en-US" w:eastAsia="ja-JP"/>
        </w:rPr>
        <w:t xml:space="preserve">much impact </w:t>
      </w:r>
      <w:r w:rsidR="00C9099B">
        <w:rPr>
          <w:lang w:val="en-US" w:eastAsia="ja-JP"/>
        </w:rPr>
        <w:t>on</w:t>
      </w:r>
      <w:r>
        <w:rPr>
          <w:lang w:val="en-US" w:eastAsia="ja-JP"/>
        </w:rPr>
        <w:t xml:space="preserve"> </w:t>
      </w:r>
      <w:r w:rsidR="00C9099B">
        <w:rPr>
          <w:lang w:val="en-US" w:eastAsia="ja-JP"/>
        </w:rPr>
        <w:t>current BS implementations i</w:t>
      </w:r>
      <w:r w:rsidR="00C9099B" w:rsidRPr="00C9099B">
        <w:rPr>
          <w:lang w:val="en-US" w:eastAsia="ja-JP"/>
        </w:rPr>
        <w:t xml:space="preserve">n terms of meeting the </w:t>
      </w:r>
      <w:r w:rsidR="00C9099B">
        <w:rPr>
          <w:lang w:val="en-US" w:eastAsia="ja-JP"/>
        </w:rPr>
        <w:t xml:space="preserve">BS RF </w:t>
      </w:r>
      <w:r w:rsidR="00C9099B" w:rsidRPr="00C9099B">
        <w:rPr>
          <w:lang w:val="en-US" w:eastAsia="ja-JP"/>
        </w:rPr>
        <w:t>requirements.</w:t>
      </w:r>
    </w:p>
    <w:p w:rsidR="00774E7C" w:rsidRDefault="00774E7C" w:rsidP="00774E7C">
      <w:pPr>
        <w:jc w:val="both"/>
        <w:rPr>
          <w:lang w:eastAsia="ja-JP"/>
        </w:rPr>
      </w:pPr>
      <w:r w:rsidRPr="00774E7C">
        <w:rPr>
          <w:lang w:eastAsia="ja-JP"/>
        </w:rPr>
        <w:t>On the other hand, even if TAE is not app</w:t>
      </w:r>
      <w:r>
        <w:rPr>
          <w:lang w:eastAsia="ja-JP"/>
        </w:rPr>
        <w:t xml:space="preserve">lied </w:t>
      </w:r>
      <w:r w:rsidR="00C9099B">
        <w:rPr>
          <w:lang w:eastAsia="ja-JP"/>
        </w:rPr>
        <w:t>for inter-RRH</w:t>
      </w:r>
      <w:r>
        <w:rPr>
          <w:lang w:eastAsia="ja-JP"/>
        </w:rPr>
        <w:t>, TAE</w:t>
      </w:r>
      <w:r w:rsidRPr="00774E7C">
        <w:rPr>
          <w:lang w:eastAsia="ja-JP"/>
        </w:rPr>
        <w:t xml:space="preserve"> to be satisfied between different RRHs in actual operation</w:t>
      </w:r>
      <w:r>
        <w:rPr>
          <w:lang w:eastAsia="ja-JP"/>
        </w:rPr>
        <w:t xml:space="preserve"> are substantially due to MRTD</w:t>
      </w:r>
      <w:r w:rsidRPr="00774E7C">
        <w:rPr>
          <w:lang w:eastAsia="ja-JP"/>
        </w:rPr>
        <w:t>.</w:t>
      </w:r>
      <w:r>
        <w:rPr>
          <w:rFonts w:hint="eastAsia"/>
          <w:lang w:eastAsia="ja-JP"/>
        </w:rPr>
        <w:t xml:space="preserve"> </w:t>
      </w:r>
    </w:p>
    <w:p w:rsidR="00774E7C" w:rsidRPr="00AF23FD" w:rsidRDefault="00774E7C" w:rsidP="00774E7C">
      <w:pPr>
        <w:jc w:val="both"/>
        <w:rPr>
          <w:b/>
          <w:lang w:val="en-US" w:eastAsia="ja-JP"/>
        </w:rPr>
      </w:pPr>
      <w:r w:rsidRPr="00AF23FD">
        <w:rPr>
          <w:rFonts w:hint="eastAsia"/>
          <w:b/>
          <w:lang w:val="en-US" w:eastAsia="ja-JP"/>
        </w:rPr>
        <w:t>Observation 2: Even if TAE requirements are revisited to smaller values</w:t>
      </w:r>
      <w:r w:rsidRPr="00AF23FD">
        <w:rPr>
          <w:b/>
          <w:lang w:val="en-US" w:eastAsia="ja-JP"/>
        </w:rPr>
        <w:t xml:space="preserve"> (e.g., 260ns, 130ns)</w:t>
      </w:r>
      <w:r w:rsidRPr="00AF23FD">
        <w:rPr>
          <w:rFonts w:hint="eastAsia"/>
          <w:b/>
          <w:lang w:val="en-US" w:eastAsia="ja-JP"/>
        </w:rPr>
        <w:t>, there might be</w:t>
      </w:r>
      <w:r w:rsidRPr="00AF23FD">
        <w:rPr>
          <w:b/>
          <w:lang w:val="en-US" w:eastAsia="ja-JP"/>
        </w:rPr>
        <w:t xml:space="preserve"> no concern in BS RF since T</w:t>
      </w:r>
      <w:r w:rsidR="00B93E9B" w:rsidRPr="00AF23FD">
        <w:rPr>
          <w:b/>
          <w:lang w:val="en-US" w:eastAsia="ja-JP"/>
        </w:rPr>
        <w:t>AE is only applied for intra-RRH</w:t>
      </w:r>
      <w:r w:rsidRPr="00AF23FD">
        <w:rPr>
          <w:b/>
          <w:lang w:val="en-US" w:eastAsia="ja-JP"/>
        </w:rPr>
        <w:t>.</w:t>
      </w:r>
      <w:r w:rsidRPr="00AF23FD">
        <w:rPr>
          <w:rFonts w:hint="eastAsia"/>
          <w:b/>
          <w:lang w:val="en-US" w:eastAsia="ja-JP"/>
        </w:rPr>
        <w:t xml:space="preserve"> </w:t>
      </w:r>
    </w:p>
    <w:p w:rsidR="00774E7C" w:rsidRPr="00AF23FD" w:rsidRDefault="00774E7C" w:rsidP="00774E7C">
      <w:pPr>
        <w:jc w:val="both"/>
        <w:rPr>
          <w:b/>
          <w:lang w:eastAsia="ja-JP"/>
        </w:rPr>
      </w:pPr>
      <w:r w:rsidRPr="00AF23FD">
        <w:rPr>
          <w:b/>
          <w:lang w:eastAsia="ja-JP"/>
        </w:rPr>
        <w:t>Observation 3: TAE for inter-RRH is out of scope of BS RF in Rel.15, however</w:t>
      </w:r>
      <w:r w:rsidR="00AF06EF" w:rsidRPr="00AF23FD">
        <w:rPr>
          <w:b/>
          <w:lang w:eastAsia="ja-JP"/>
        </w:rPr>
        <w:t xml:space="preserve"> in the actual operations,</w:t>
      </w:r>
      <w:r w:rsidRPr="00AF23FD">
        <w:rPr>
          <w:b/>
          <w:lang w:eastAsia="ja-JP"/>
        </w:rPr>
        <w:t xml:space="preserve"> </w:t>
      </w:r>
      <w:r w:rsidR="00AF06EF" w:rsidRPr="00AF23FD">
        <w:rPr>
          <w:b/>
          <w:lang w:eastAsia="ja-JP"/>
        </w:rPr>
        <w:t>TAE for inter-RRH should be</w:t>
      </w:r>
      <w:r w:rsidRPr="00AF23FD">
        <w:rPr>
          <w:b/>
          <w:lang w:eastAsia="ja-JP"/>
        </w:rPr>
        <w:t xml:space="preserve"> smaller than MRTD.</w:t>
      </w:r>
    </w:p>
    <w:p w:rsidR="00774E7C" w:rsidRDefault="00131558" w:rsidP="00774E7C">
      <w:pPr>
        <w:jc w:val="both"/>
      </w:pPr>
      <w:r>
        <w:lastRenderedPageBreak/>
        <w:pict>
          <v:shape id="图片 3" o:spid="_x0000_i1026" type="#_x0000_t75" style="width:486.75pt;height:285pt;mso-wrap-style:square;mso-position-horizontal-relative:page;mso-position-vertical-relative:page">
            <v:imagedata r:id="rId8" o:title=""/>
          </v:shape>
        </w:pict>
      </w:r>
    </w:p>
    <w:p w:rsidR="00774E7C" w:rsidRPr="00251779" w:rsidRDefault="00774E7C" w:rsidP="00774E7C">
      <w:pPr>
        <w:widowControl w:val="0"/>
        <w:tabs>
          <w:tab w:val="left" w:pos="491"/>
        </w:tabs>
        <w:spacing w:before="120" w:after="120"/>
        <w:jc w:val="center"/>
        <w:rPr>
          <w:rFonts w:eastAsia="SimSun"/>
          <w:i/>
          <w:lang w:val="en-US" w:eastAsia="zh-CN"/>
        </w:rPr>
      </w:pPr>
      <w:r w:rsidRPr="00251779">
        <w:rPr>
          <w:rFonts w:eastAsia="SimSun" w:hint="eastAsia"/>
          <w:b/>
          <w:bCs/>
          <w:i/>
          <w:lang w:val="en-US" w:eastAsia="zh-CN"/>
        </w:rPr>
        <w:t>Figure 1</w:t>
      </w:r>
      <w:r w:rsidRPr="00251779">
        <w:rPr>
          <w:rFonts w:eastAsia="SimSun" w:hint="eastAsia"/>
          <w:i/>
          <w:lang w:val="en-US" w:eastAsia="zh-CN"/>
        </w:rPr>
        <w:t>. illustration of NR AAU w/o the same timing module</w:t>
      </w:r>
    </w:p>
    <w:p w:rsidR="00251779" w:rsidRPr="00000FBD" w:rsidRDefault="00774E7C" w:rsidP="00783BA1">
      <w:pPr>
        <w:jc w:val="both"/>
        <w:rPr>
          <w:lang w:val="en-US" w:eastAsia="ja-JP"/>
        </w:rPr>
      </w:pPr>
      <w:r>
        <w:rPr>
          <w:rFonts w:hint="eastAsia"/>
          <w:lang w:val="en-US" w:eastAsia="ja-JP"/>
        </w:rPr>
        <w:t>Figure</w:t>
      </w:r>
      <w:r>
        <w:rPr>
          <w:lang w:val="en-US" w:eastAsia="ja-JP"/>
        </w:rPr>
        <w:t xml:space="preserve"> 1 show examples of possible BS implementations for intra-band non-contiguous CA. The strict TAE for intra-band non-contiguous CA (i.e., 260ns for FR1 and 130ns for FR2) could be achieved easily in the case that a common master clock is shared </w:t>
      </w:r>
      <w:r w:rsidR="00AF06EF">
        <w:rPr>
          <w:lang w:val="en-US" w:eastAsia="ja-JP"/>
        </w:rPr>
        <w:t>to all CCs</w:t>
      </w:r>
      <w:r w:rsidR="00B93E9B">
        <w:rPr>
          <w:lang w:val="en-US" w:eastAsia="ja-JP"/>
        </w:rPr>
        <w:t xml:space="preserve"> (Case A-1, A-2 and </w:t>
      </w:r>
      <w:r w:rsidR="00AF06EF">
        <w:rPr>
          <w:lang w:val="en-US" w:eastAsia="ja-JP"/>
        </w:rPr>
        <w:t>B-2)</w:t>
      </w:r>
      <w:r w:rsidR="00B93E9B">
        <w:rPr>
          <w:lang w:val="en-US" w:eastAsia="ja-JP"/>
        </w:rPr>
        <w:t>.</w:t>
      </w:r>
      <w:r w:rsidR="00B93E9B">
        <w:rPr>
          <w:rFonts w:hint="eastAsia"/>
          <w:lang w:val="en-US" w:eastAsia="ja-JP"/>
        </w:rPr>
        <w:t xml:space="preserve"> </w:t>
      </w:r>
      <w:r w:rsidR="00AF06EF">
        <w:rPr>
          <w:lang w:val="en-US" w:eastAsia="ja-JP"/>
        </w:rPr>
        <w:t>On the other hand, when</w:t>
      </w:r>
      <w:r w:rsidR="00B93E9B" w:rsidRPr="00B93E9B">
        <w:rPr>
          <w:lang w:val="en-US" w:eastAsia="ja-JP"/>
        </w:rPr>
        <w:t xml:space="preserve"> each RRH has </w:t>
      </w:r>
      <w:r w:rsidR="00AF06EF">
        <w:rPr>
          <w:lang w:val="en-US" w:eastAsia="ja-JP"/>
        </w:rPr>
        <w:t>clock timing independently or when</w:t>
      </w:r>
      <w:r w:rsidR="00B93E9B" w:rsidRPr="00B93E9B">
        <w:rPr>
          <w:lang w:val="en-US" w:eastAsia="ja-JP"/>
        </w:rPr>
        <w:t xml:space="preserve"> BBU provides clock timing to each RRH via </w:t>
      </w:r>
      <w:r w:rsidR="00AF06EF">
        <w:rPr>
          <w:lang w:val="en-US" w:eastAsia="ja-JP"/>
        </w:rPr>
        <w:t>separate front hall interfaces</w:t>
      </w:r>
      <w:r w:rsidR="00B93E9B">
        <w:rPr>
          <w:lang w:val="en-US" w:eastAsia="ja-JP"/>
        </w:rPr>
        <w:t xml:space="preserve"> (Case A-2 and </w:t>
      </w:r>
      <w:r w:rsidR="00B93E9B" w:rsidRPr="00B93E9B">
        <w:rPr>
          <w:lang w:val="en-US" w:eastAsia="ja-JP"/>
        </w:rPr>
        <w:t xml:space="preserve">B-3), </w:t>
      </w:r>
      <w:r w:rsidR="00783BA1">
        <w:rPr>
          <w:lang w:val="en-US" w:eastAsia="ja-JP"/>
        </w:rPr>
        <w:t>It can be difficult to achieve</w:t>
      </w:r>
      <w:r w:rsidR="00B93E9B" w:rsidRPr="00B93E9B">
        <w:rPr>
          <w:lang w:val="en-US" w:eastAsia="ja-JP"/>
        </w:rPr>
        <w:t xml:space="preserve"> </w:t>
      </w:r>
      <w:r w:rsidR="00B93E9B">
        <w:rPr>
          <w:lang w:val="en-US" w:eastAsia="ja-JP"/>
        </w:rPr>
        <w:t xml:space="preserve">strict </w:t>
      </w:r>
      <w:r w:rsidR="00B93E9B" w:rsidRPr="00B93E9B">
        <w:rPr>
          <w:lang w:val="en-US" w:eastAsia="ja-JP"/>
        </w:rPr>
        <w:t>TAE</w:t>
      </w:r>
      <w:r w:rsidR="00B93E9B">
        <w:rPr>
          <w:lang w:val="en-US" w:eastAsia="ja-JP"/>
        </w:rPr>
        <w:t>s</w:t>
      </w:r>
      <w:r w:rsidR="00B93E9B" w:rsidRPr="00B93E9B">
        <w:rPr>
          <w:lang w:val="en-US" w:eastAsia="ja-JP"/>
        </w:rPr>
        <w:t xml:space="preserve"> between CCs</w:t>
      </w:r>
      <w:r w:rsidR="00783BA1">
        <w:rPr>
          <w:lang w:val="en-US" w:eastAsia="ja-JP"/>
        </w:rPr>
        <w:t xml:space="preserve">. </w:t>
      </w:r>
      <w:r w:rsidR="00000FBD">
        <w:rPr>
          <w:lang w:val="en-US" w:eastAsia="ja-JP"/>
        </w:rPr>
        <w:t xml:space="preserve">Since </w:t>
      </w:r>
      <w:r w:rsidR="00AF06EF">
        <w:rPr>
          <w:lang w:val="en-US" w:eastAsia="ja-JP"/>
        </w:rPr>
        <w:t>achievable TAE for inter-R</w:t>
      </w:r>
      <w:r w:rsidR="00000FBD">
        <w:rPr>
          <w:lang w:val="en-US" w:eastAsia="ja-JP"/>
        </w:rPr>
        <w:t>RH depends on BS implementation, MRTD values should be larger as much as possible to avoid the limitations of the BS implementation and the deployment flexibility.</w:t>
      </w:r>
    </w:p>
    <w:p w:rsidR="009C1287" w:rsidRPr="00AF23FD" w:rsidRDefault="009C1287" w:rsidP="00A33BED">
      <w:pPr>
        <w:rPr>
          <w:b/>
          <w:lang w:eastAsia="ja-JP"/>
        </w:rPr>
      </w:pPr>
      <w:r w:rsidRPr="00AF23FD">
        <w:rPr>
          <w:rFonts w:hint="eastAsia"/>
          <w:b/>
          <w:lang w:eastAsia="ja-JP"/>
        </w:rPr>
        <w:t xml:space="preserve">Observation 4: </w:t>
      </w:r>
      <w:r w:rsidRPr="00AF23FD">
        <w:rPr>
          <w:b/>
          <w:lang w:eastAsia="ja-JP"/>
        </w:rPr>
        <w:t>Depending on</w:t>
      </w:r>
      <w:r w:rsidRPr="00AF23FD">
        <w:rPr>
          <w:rFonts w:hint="eastAsia"/>
          <w:b/>
          <w:lang w:eastAsia="ja-JP"/>
        </w:rPr>
        <w:t xml:space="preserve"> </w:t>
      </w:r>
      <w:r w:rsidR="00000FBD" w:rsidRPr="00AF23FD">
        <w:rPr>
          <w:b/>
          <w:lang w:eastAsia="ja-JP"/>
        </w:rPr>
        <w:t>BS</w:t>
      </w:r>
      <w:r w:rsidRPr="00AF23FD">
        <w:rPr>
          <w:b/>
          <w:lang w:eastAsia="ja-JP"/>
        </w:rPr>
        <w:t xml:space="preserve"> </w:t>
      </w:r>
      <w:r w:rsidRPr="00AF23FD">
        <w:rPr>
          <w:rFonts w:hint="eastAsia"/>
          <w:b/>
          <w:lang w:eastAsia="ja-JP"/>
        </w:rPr>
        <w:t>implementation</w:t>
      </w:r>
      <w:r w:rsidR="00000FBD" w:rsidRPr="00AF23FD">
        <w:rPr>
          <w:b/>
          <w:lang w:eastAsia="ja-JP"/>
        </w:rPr>
        <w:t>s</w:t>
      </w:r>
      <w:r w:rsidRPr="00AF23FD">
        <w:rPr>
          <w:b/>
          <w:lang w:eastAsia="ja-JP"/>
        </w:rPr>
        <w:t>, even if co-located deployment, TAE 260ns for FR1 and 130ns for FR2 might be too strict for inter-RRH.</w:t>
      </w:r>
    </w:p>
    <w:p w:rsidR="00251779" w:rsidRDefault="00131558" w:rsidP="00251779">
      <w:pPr>
        <w:jc w:val="center"/>
        <w:rPr>
          <w:lang w:eastAsia="ja-JP"/>
        </w:rPr>
      </w:pPr>
      <w:r>
        <w:rPr>
          <w:lang w:eastAsia="ja-JP"/>
        </w:rPr>
        <w:pict w14:anchorId="7AB561B7">
          <v:shape id="_x0000_i1027" type="#_x0000_t75" style="width:369.75pt;height:237pt;mso-left-percent:-10001;mso-top-percent:-10001;mso-position-horizontal:absolute;mso-position-horizontal-relative:char;mso-position-vertical:absolute;mso-position-vertical-relative:line;mso-left-percent:-10001;mso-top-percent:-10001">
            <v:imagedata r:id="rId9" o:title=""/>
          </v:shape>
        </w:pict>
      </w:r>
    </w:p>
    <w:p w:rsidR="00251779" w:rsidRDefault="00251779" w:rsidP="00251779">
      <w:pPr>
        <w:pStyle w:val="TAH"/>
        <w:rPr>
          <w:lang w:eastAsia="ja-JP"/>
        </w:rPr>
      </w:pPr>
      <w:r>
        <w:rPr>
          <w:rFonts w:hint="eastAsia"/>
          <w:lang w:eastAsia="ja-JP"/>
        </w:rPr>
        <w:t xml:space="preserve">Figure 1: </w:t>
      </w:r>
      <w:r>
        <w:rPr>
          <w:lang w:eastAsia="ja-JP"/>
        </w:rPr>
        <w:t>Example of Implementations</w:t>
      </w:r>
      <w:r w:rsidR="009C1287">
        <w:rPr>
          <w:lang w:eastAsia="ja-JP"/>
        </w:rPr>
        <w:t xml:space="preserve"> for intra-band non-contiguous CA</w:t>
      </w:r>
      <w:r>
        <w:rPr>
          <w:lang w:eastAsia="ja-JP"/>
        </w:rPr>
        <w:t xml:space="preserve"> (2 CC case)</w:t>
      </w:r>
    </w:p>
    <w:p w:rsidR="00251779" w:rsidRDefault="00251779" w:rsidP="00A33BED">
      <w:pPr>
        <w:rPr>
          <w:rFonts w:hint="eastAsia"/>
          <w:lang w:val="en-US" w:eastAsia="ja-JP"/>
        </w:rPr>
      </w:pPr>
    </w:p>
    <w:p w:rsidR="00CB4BD3" w:rsidRDefault="00CB4BD3" w:rsidP="00A33BED">
      <w:pPr>
        <w:rPr>
          <w:lang w:val="en-US" w:eastAsia="ja-JP"/>
        </w:rPr>
      </w:pPr>
      <w:r>
        <w:rPr>
          <w:rFonts w:hint="eastAsia"/>
          <w:lang w:val="en-US" w:eastAsia="ja-JP"/>
        </w:rPr>
        <w:lastRenderedPageBreak/>
        <w:t>From above observations, we propose the followings:</w:t>
      </w:r>
    </w:p>
    <w:p w:rsidR="00CB4BD3" w:rsidRPr="00AF23FD" w:rsidRDefault="00CB4BD3" w:rsidP="00774E7C">
      <w:pPr>
        <w:jc w:val="both"/>
        <w:rPr>
          <w:b/>
          <w:lang w:val="en-US" w:eastAsia="ja-JP"/>
        </w:rPr>
      </w:pPr>
      <w:r w:rsidRPr="00AF23FD">
        <w:rPr>
          <w:rFonts w:hint="eastAsia"/>
          <w:b/>
          <w:lang w:val="en-US" w:eastAsia="ja-JP"/>
        </w:rPr>
        <w:t>Proposal</w:t>
      </w:r>
      <w:r w:rsidRPr="00AF23FD">
        <w:rPr>
          <w:b/>
          <w:lang w:val="en-US" w:eastAsia="ja-JP"/>
        </w:rPr>
        <w:t xml:space="preserve"> 1: TAE for intra-band non-contiguous CA</w:t>
      </w:r>
      <w:r w:rsidR="00774E7C" w:rsidRPr="00AF23FD">
        <w:rPr>
          <w:b/>
          <w:lang w:val="en-US" w:eastAsia="ja-JP"/>
        </w:rPr>
        <w:t xml:space="preserve"> is applied</w:t>
      </w:r>
      <w:r w:rsidRPr="00AF23FD">
        <w:rPr>
          <w:b/>
          <w:lang w:val="en-US" w:eastAsia="ja-JP"/>
        </w:rPr>
        <w:t xml:space="preserve"> for only intra-RRH</w:t>
      </w:r>
    </w:p>
    <w:p w:rsidR="00CB4BD3" w:rsidRPr="00AF23FD" w:rsidRDefault="00CB4BD3" w:rsidP="00774E7C">
      <w:pPr>
        <w:jc w:val="both"/>
        <w:rPr>
          <w:b/>
          <w:lang w:val="en-US" w:eastAsia="ja-JP"/>
        </w:rPr>
      </w:pPr>
      <w:r w:rsidRPr="00AF23FD">
        <w:rPr>
          <w:b/>
          <w:lang w:val="en-US" w:eastAsia="ja-JP"/>
        </w:rPr>
        <w:t>Proposal 2: If proposal 1 is agreed, revisit TAE for intra-band non-contiguous CA to 260ns for FR1 and 130ns for FR2.</w:t>
      </w:r>
    </w:p>
    <w:p w:rsidR="00CB4BD3" w:rsidRPr="00AF23FD" w:rsidRDefault="00CB4BD3" w:rsidP="00774E7C">
      <w:pPr>
        <w:jc w:val="both"/>
        <w:rPr>
          <w:b/>
          <w:lang w:val="en-US" w:eastAsia="ja-JP"/>
        </w:rPr>
      </w:pPr>
      <w:r w:rsidRPr="00AF23FD">
        <w:rPr>
          <w:b/>
          <w:lang w:val="en-US" w:eastAsia="ja-JP"/>
        </w:rPr>
        <w:t xml:space="preserve">Proposal 3: </w:t>
      </w:r>
      <w:r w:rsidR="00774E7C" w:rsidRPr="00AF23FD">
        <w:rPr>
          <w:b/>
          <w:lang w:val="en-US" w:eastAsia="ja-JP"/>
        </w:rPr>
        <w:t>F</w:t>
      </w:r>
      <w:r w:rsidRPr="00AF23FD">
        <w:rPr>
          <w:b/>
          <w:lang w:val="en-US" w:eastAsia="ja-JP"/>
        </w:rPr>
        <w:t>or UE MRTD</w:t>
      </w:r>
      <w:r w:rsidR="00774E7C" w:rsidRPr="00AF23FD">
        <w:rPr>
          <w:b/>
          <w:lang w:val="en-US" w:eastAsia="ja-JP"/>
        </w:rPr>
        <w:t xml:space="preserve"> for intra-band non-contiguous CA</w:t>
      </w:r>
      <w:r w:rsidRPr="00AF23FD">
        <w:rPr>
          <w:b/>
          <w:lang w:val="en-US" w:eastAsia="ja-JP"/>
        </w:rPr>
        <w:t>, consider different and larger value than TAE as much as possible to keep the flexibility of the implementation</w:t>
      </w:r>
      <w:r w:rsidR="00774E7C" w:rsidRPr="00AF23FD">
        <w:rPr>
          <w:b/>
          <w:lang w:val="en-US" w:eastAsia="ja-JP"/>
        </w:rPr>
        <w:t xml:space="preserve"> and deployment</w:t>
      </w:r>
      <w:r w:rsidRPr="00AF23FD">
        <w:rPr>
          <w:b/>
          <w:lang w:val="en-US" w:eastAsia="ja-JP"/>
        </w:rPr>
        <w:t xml:space="preserve"> of the BS</w:t>
      </w:r>
      <w:r w:rsidR="00774E7C" w:rsidRPr="00AF23FD">
        <w:rPr>
          <w:b/>
          <w:lang w:val="en-US" w:eastAsia="ja-JP"/>
        </w:rPr>
        <w:t xml:space="preserve"> (e.g., MRTD = Half CP length)</w:t>
      </w:r>
      <w:r w:rsidRPr="00AF23FD">
        <w:rPr>
          <w:b/>
          <w:lang w:val="en-US" w:eastAsia="ja-JP"/>
        </w:rPr>
        <w:t>.</w:t>
      </w:r>
    </w:p>
    <w:p w:rsidR="00A33BED" w:rsidRPr="00A33BED" w:rsidRDefault="00A33BED" w:rsidP="00A33BED">
      <w:pPr>
        <w:pStyle w:val="1"/>
      </w:pPr>
      <w:r>
        <w:t>3.</w:t>
      </w:r>
      <w:r>
        <w:tab/>
        <w:t>Conclusion</w:t>
      </w:r>
    </w:p>
    <w:p w:rsidR="00FF711A" w:rsidRDefault="00A33BED" w:rsidP="00DF4F19">
      <w:pPr>
        <w:jc w:val="both"/>
        <w:rPr>
          <w:lang w:eastAsia="ja-JP"/>
        </w:rPr>
      </w:pPr>
      <w:bookmarkStart w:id="0" w:name="_GoBack"/>
      <w:r>
        <w:rPr>
          <w:lang w:eastAsia="ja-JP"/>
        </w:rPr>
        <w:t xml:space="preserve">In this contribution, </w:t>
      </w:r>
      <w:r w:rsidR="00CB4BD3">
        <w:rPr>
          <w:lang w:eastAsia="ja-JP"/>
        </w:rPr>
        <w:t>TAE and MRTD are discussed. The following observations and proposals are provided.</w:t>
      </w:r>
    </w:p>
    <w:p w:rsidR="00000FBD" w:rsidRPr="00AF23FD" w:rsidRDefault="00000FBD" w:rsidP="00DF4F19">
      <w:pPr>
        <w:jc w:val="both"/>
        <w:rPr>
          <w:b/>
          <w:lang w:eastAsia="ja-JP"/>
        </w:rPr>
      </w:pPr>
      <w:r w:rsidRPr="00AF23FD">
        <w:rPr>
          <w:rFonts w:hint="eastAsia"/>
          <w:b/>
          <w:lang w:eastAsia="ja-JP"/>
        </w:rPr>
        <w:t xml:space="preserve">Observation 1: The current TAE requirements </w:t>
      </w:r>
      <w:r w:rsidRPr="00AF23FD">
        <w:rPr>
          <w:b/>
          <w:lang w:eastAsia="ja-JP"/>
        </w:rPr>
        <w:t>for intra-band non-contiguous CA is based on the assumption that multiple FFT UE receiver and non-collocated BS deployment, which is different from the assumption in UE RRM.</w:t>
      </w:r>
    </w:p>
    <w:p w:rsidR="00000FBD" w:rsidRPr="00AF23FD" w:rsidRDefault="00000FBD" w:rsidP="00DF4F19">
      <w:pPr>
        <w:jc w:val="both"/>
        <w:rPr>
          <w:b/>
          <w:lang w:val="en-US" w:eastAsia="ja-JP"/>
        </w:rPr>
      </w:pPr>
      <w:r w:rsidRPr="00AF23FD">
        <w:rPr>
          <w:rFonts w:hint="eastAsia"/>
          <w:b/>
          <w:lang w:val="en-US" w:eastAsia="ja-JP"/>
        </w:rPr>
        <w:t>Observation 2: Even if TAE requirements are revisited to smaller values</w:t>
      </w:r>
      <w:r w:rsidRPr="00AF23FD">
        <w:rPr>
          <w:b/>
          <w:lang w:val="en-US" w:eastAsia="ja-JP"/>
        </w:rPr>
        <w:t xml:space="preserve"> (e.g., 260ns, 130ns)</w:t>
      </w:r>
      <w:r w:rsidRPr="00AF23FD">
        <w:rPr>
          <w:rFonts w:hint="eastAsia"/>
          <w:b/>
          <w:lang w:val="en-US" w:eastAsia="ja-JP"/>
        </w:rPr>
        <w:t>, there might be</w:t>
      </w:r>
      <w:r w:rsidRPr="00AF23FD">
        <w:rPr>
          <w:b/>
          <w:lang w:val="en-US" w:eastAsia="ja-JP"/>
        </w:rPr>
        <w:t xml:space="preserve"> no concern in BS RF since TAE is only applied for intra-RRH.</w:t>
      </w:r>
      <w:r w:rsidRPr="00AF23FD">
        <w:rPr>
          <w:rFonts w:hint="eastAsia"/>
          <w:b/>
          <w:lang w:val="en-US" w:eastAsia="ja-JP"/>
        </w:rPr>
        <w:t xml:space="preserve"> </w:t>
      </w:r>
    </w:p>
    <w:p w:rsidR="00000FBD" w:rsidRPr="00AF23FD" w:rsidRDefault="00000FBD" w:rsidP="00DF4F19">
      <w:pPr>
        <w:jc w:val="both"/>
        <w:rPr>
          <w:b/>
          <w:lang w:eastAsia="ja-JP"/>
        </w:rPr>
      </w:pPr>
      <w:r w:rsidRPr="00AF23FD">
        <w:rPr>
          <w:b/>
          <w:lang w:eastAsia="ja-JP"/>
        </w:rPr>
        <w:t>Observation 3: TAE for inter-RRH is out of scope of BS RF in Rel.15, however in the actual operations, TAE for inter-RRH should be smaller than MRTD.</w:t>
      </w:r>
    </w:p>
    <w:p w:rsidR="00000FBD" w:rsidRPr="00AF23FD" w:rsidRDefault="00000FBD" w:rsidP="00DF4F19">
      <w:pPr>
        <w:jc w:val="both"/>
        <w:rPr>
          <w:b/>
          <w:lang w:eastAsia="ja-JP"/>
        </w:rPr>
      </w:pPr>
      <w:r w:rsidRPr="00AF23FD">
        <w:rPr>
          <w:rFonts w:hint="eastAsia"/>
          <w:b/>
          <w:lang w:eastAsia="ja-JP"/>
        </w:rPr>
        <w:t xml:space="preserve">Observation 4: </w:t>
      </w:r>
      <w:r w:rsidRPr="00AF23FD">
        <w:rPr>
          <w:b/>
          <w:lang w:eastAsia="ja-JP"/>
        </w:rPr>
        <w:t>Depending on</w:t>
      </w:r>
      <w:r w:rsidRPr="00AF23FD">
        <w:rPr>
          <w:rFonts w:hint="eastAsia"/>
          <w:b/>
          <w:lang w:eastAsia="ja-JP"/>
        </w:rPr>
        <w:t xml:space="preserve"> </w:t>
      </w:r>
      <w:r w:rsidRPr="00AF23FD">
        <w:rPr>
          <w:b/>
          <w:lang w:eastAsia="ja-JP"/>
        </w:rPr>
        <w:t xml:space="preserve">BS </w:t>
      </w:r>
      <w:r w:rsidRPr="00AF23FD">
        <w:rPr>
          <w:rFonts w:hint="eastAsia"/>
          <w:b/>
          <w:lang w:eastAsia="ja-JP"/>
        </w:rPr>
        <w:t>implementation</w:t>
      </w:r>
      <w:r w:rsidRPr="00AF23FD">
        <w:rPr>
          <w:b/>
          <w:lang w:eastAsia="ja-JP"/>
        </w:rPr>
        <w:t>s, even if co-located deployment, MRTD 260ns for FR1 and 130ns for FR2 might be too strict to TAE for inter-RRH.</w:t>
      </w:r>
    </w:p>
    <w:p w:rsidR="00000FBD" w:rsidRPr="00AF23FD" w:rsidRDefault="00000FBD" w:rsidP="00DF4F19">
      <w:pPr>
        <w:jc w:val="both"/>
        <w:rPr>
          <w:b/>
          <w:lang w:val="en-US" w:eastAsia="ja-JP"/>
        </w:rPr>
      </w:pPr>
      <w:r w:rsidRPr="00AF23FD">
        <w:rPr>
          <w:rFonts w:hint="eastAsia"/>
          <w:b/>
          <w:lang w:val="en-US" w:eastAsia="ja-JP"/>
        </w:rPr>
        <w:t>Proposal</w:t>
      </w:r>
      <w:r w:rsidRPr="00AF23FD">
        <w:rPr>
          <w:b/>
          <w:lang w:val="en-US" w:eastAsia="ja-JP"/>
        </w:rPr>
        <w:t xml:space="preserve"> 1: TAE for intra-band non-contiguous CA is applied for only intra-RRH</w:t>
      </w:r>
    </w:p>
    <w:p w:rsidR="00000FBD" w:rsidRPr="00AF23FD" w:rsidRDefault="00000FBD" w:rsidP="00DF4F19">
      <w:pPr>
        <w:jc w:val="both"/>
        <w:rPr>
          <w:b/>
          <w:lang w:val="en-US" w:eastAsia="ja-JP"/>
        </w:rPr>
      </w:pPr>
      <w:r w:rsidRPr="00AF23FD">
        <w:rPr>
          <w:b/>
          <w:lang w:val="en-US" w:eastAsia="ja-JP"/>
        </w:rPr>
        <w:t>Proposal 2: If proposal 1 is agreed, revisit TAE for intra-band non-contiguous CA to 260ns for FR1 and 130ns for FR2.</w:t>
      </w:r>
    </w:p>
    <w:p w:rsidR="00000FBD" w:rsidRPr="00AF23FD" w:rsidRDefault="00000FBD" w:rsidP="00DF4F19">
      <w:pPr>
        <w:jc w:val="both"/>
        <w:rPr>
          <w:b/>
          <w:lang w:val="en-US" w:eastAsia="ja-JP"/>
        </w:rPr>
      </w:pPr>
      <w:r w:rsidRPr="00AF23FD">
        <w:rPr>
          <w:b/>
          <w:lang w:val="en-US" w:eastAsia="ja-JP"/>
        </w:rPr>
        <w:t>Proposal 3: For UE MRTD for intra-band non-contiguous CA, consider different and larger value than TAE as much as possible to keep the flexibility of the implementation and deployment of the BS (e.g., MRTD = Half CP length).</w:t>
      </w:r>
    </w:p>
    <w:bookmarkEnd w:id="0"/>
    <w:p w:rsidR="00A33BED" w:rsidRPr="00BF7F29" w:rsidRDefault="00A33BED" w:rsidP="00A33BED">
      <w:pPr>
        <w:pStyle w:val="1"/>
        <w:ind w:left="432" w:hanging="432"/>
        <w:rPr>
          <w:lang w:eastAsia="ja-JP"/>
        </w:rPr>
      </w:pPr>
      <w:r>
        <w:rPr>
          <w:rFonts w:hint="eastAsia"/>
          <w:lang w:eastAsia="ja-JP"/>
        </w:rPr>
        <w:t>References</w:t>
      </w:r>
    </w:p>
    <w:p w:rsidR="00F049C4" w:rsidRPr="00047351" w:rsidRDefault="00047351" w:rsidP="00047351">
      <w:pPr>
        <w:numPr>
          <w:ilvl w:val="0"/>
          <w:numId w:val="1"/>
        </w:numPr>
        <w:ind w:left="284" w:hanging="284"/>
        <w:rPr>
          <w:lang w:val="en-US" w:eastAsia="ja-JP"/>
        </w:rPr>
      </w:pPr>
      <w:r w:rsidRPr="00047351">
        <w:rPr>
          <w:rFonts w:hint="eastAsia"/>
          <w:lang w:val="en-US" w:eastAsia="ja-JP"/>
        </w:rPr>
        <w:t>R4-1904851</w:t>
      </w:r>
      <w:r w:rsidR="00F049C4" w:rsidRPr="00047351">
        <w:rPr>
          <w:rFonts w:hint="eastAsia"/>
          <w:lang w:val="en-US" w:eastAsia="ja-JP"/>
        </w:rPr>
        <w:t xml:space="preserve">, </w:t>
      </w:r>
      <w:r w:rsidR="00F049C4" w:rsidRPr="00047351">
        <w:rPr>
          <w:lang w:val="en-US" w:eastAsia="ja-JP"/>
        </w:rPr>
        <w:t>“</w:t>
      </w:r>
      <w:r w:rsidR="005410BE">
        <w:rPr>
          <w:lang w:val="sv-SE" w:eastAsia="ja-JP"/>
        </w:rPr>
        <w:t>WF for BS TAE and MRTD</w:t>
      </w:r>
      <w:r w:rsidRPr="00047351">
        <w:rPr>
          <w:lang w:val="sv-SE" w:eastAsia="ja-JP"/>
        </w:rPr>
        <w:t xml:space="preserve"> specification for NR Rel-15</w:t>
      </w:r>
      <w:r w:rsidR="00F049C4" w:rsidRPr="00047351">
        <w:rPr>
          <w:lang w:val="en-US" w:eastAsia="ja-JP"/>
        </w:rPr>
        <w:t>”</w:t>
      </w:r>
      <w:r w:rsidRPr="00047351">
        <w:rPr>
          <w:rFonts w:hint="eastAsia"/>
          <w:lang w:val="en-US" w:eastAsia="ja-JP"/>
        </w:rPr>
        <w:t>, Ericsson</w:t>
      </w:r>
      <w:r w:rsidR="00F049C4" w:rsidRPr="00047351">
        <w:rPr>
          <w:rFonts w:hint="eastAsia"/>
          <w:lang w:val="en-US" w:eastAsia="ja-JP"/>
        </w:rPr>
        <w:t xml:space="preserve">, </w:t>
      </w:r>
      <w:r w:rsidRPr="00047351">
        <w:rPr>
          <w:lang w:val="en-US" w:eastAsia="ja-JP"/>
        </w:rPr>
        <w:t>RAN4#90bis</w:t>
      </w:r>
      <w:r w:rsidR="00F049C4" w:rsidRPr="00047351">
        <w:rPr>
          <w:rFonts w:hint="eastAsia"/>
          <w:lang w:val="en-US" w:eastAsia="ja-JP"/>
        </w:rPr>
        <w:t xml:space="preserve">, </w:t>
      </w:r>
      <w:r w:rsidRPr="00047351">
        <w:rPr>
          <w:lang w:val="en-US" w:eastAsia="ja-JP"/>
        </w:rPr>
        <w:t>April</w:t>
      </w:r>
      <w:r w:rsidR="00F049C4" w:rsidRPr="00047351">
        <w:rPr>
          <w:rFonts w:hint="eastAsia"/>
          <w:lang w:val="en-US" w:eastAsia="ja-JP"/>
        </w:rPr>
        <w:t xml:space="preserve"> 2019</w:t>
      </w:r>
    </w:p>
    <w:p w:rsidR="00047351" w:rsidRDefault="00047351" w:rsidP="00047351">
      <w:pPr>
        <w:numPr>
          <w:ilvl w:val="0"/>
          <w:numId w:val="1"/>
        </w:numPr>
        <w:rPr>
          <w:lang w:val="en-US" w:eastAsia="ja-JP"/>
        </w:rPr>
      </w:pPr>
      <w:r>
        <w:rPr>
          <w:lang w:val="en-US" w:eastAsia="ja-JP"/>
        </w:rPr>
        <w:t>“3GPP TR 38</w:t>
      </w:r>
      <w:r w:rsidRPr="00B80589">
        <w:rPr>
          <w:lang w:val="en-US" w:eastAsia="ja-JP"/>
        </w:rPr>
        <w:t>.</w:t>
      </w:r>
      <w:r>
        <w:rPr>
          <w:lang w:val="en-US" w:eastAsia="ja-JP"/>
        </w:rPr>
        <w:t>817-02:</w:t>
      </w:r>
      <w:r w:rsidRPr="00B80589">
        <w:rPr>
          <w:lang w:val="en-US" w:eastAsia="ja-JP"/>
        </w:rPr>
        <w:t xml:space="preserve"> </w:t>
      </w:r>
      <w:r w:rsidRPr="00047351">
        <w:rPr>
          <w:lang w:val="en-US" w:eastAsia="ja-JP"/>
        </w:rPr>
        <w:t>General aspects for Base Station (BS) Radio Frequency (RF) for NR</w:t>
      </w:r>
      <w:r>
        <w:rPr>
          <w:lang w:val="en-US" w:eastAsia="ja-JP"/>
        </w:rPr>
        <w:t>”, 3GPP</w:t>
      </w:r>
    </w:p>
    <w:p w:rsidR="00252154" w:rsidRDefault="00252154" w:rsidP="00252154">
      <w:pPr>
        <w:numPr>
          <w:ilvl w:val="0"/>
          <w:numId w:val="1"/>
        </w:numPr>
        <w:rPr>
          <w:lang w:val="en-US" w:eastAsia="ja-JP"/>
        </w:rPr>
      </w:pPr>
      <w:r>
        <w:rPr>
          <w:lang w:val="en-US" w:eastAsia="ja-JP"/>
        </w:rPr>
        <w:t>“3GPP TS 36</w:t>
      </w:r>
      <w:r w:rsidRPr="00B80589">
        <w:rPr>
          <w:lang w:val="en-US" w:eastAsia="ja-JP"/>
        </w:rPr>
        <w:t>.</w:t>
      </w:r>
      <w:r>
        <w:rPr>
          <w:lang w:val="en-US" w:eastAsia="ja-JP"/>
        </w:rPr>
        <w:t>104:</w:t>
      </w:r>
      <w:r w:rsidRPr="00B80589">
        <w:rPr>
          <w:lang w:val="en-US" w:eastAsia="ja-JP"/>
        </w:rPr>
        <w:t xml:space="preserve"> </w:t>
      </w:r>
      <w:r w:rsidRPr="00252154">
        <w:rPr>
          <w:lang w:val="en-US" w:eastAsia="ja-JP"/>
        </w:rPr>
        <w:t>Evolved Universal Terrestrial Radio Access (E-UTRA); Base Station (BS) radio transmission and reception</w:t>
      </w:r>
      <w:r>
        <w:rPr>
          <w:lang w:val="en-US" w:eastAsia="ja-JP"/>
        </w:rPr>
        <w:t>”, 3GPP</w:t>
      </w:r>
    </w:p>
    <w:p w:rsidR="00252154" w:rsidRDefault="00252154" w:rsidP="00252154">
      <w:pPr>
        <w:numPr>
          <w:ilvl w:val="0"/>
          <w:numId w:val="1"/>
        </w:numPr>
        <w:rPr>
          <w:lang w:val="en-US" w:eastAsia="ja-JP"/>
        </w:rPr>
      </w:pPr>
      <w:r>
        <w:rPr>
          <w:lang w:val="en-US" w:eastAsia="ja-JP"/>
        </w:rPr>
        <w:t>“3GPP TS 38.104:</w:t>
      </w:r>
      <w:r w:rsidRPr="00B80589">
        <w:rPr>
          <w:lang w:val="en-US" w:eastAsia="ja-JP"/>
        </w:rPr>
        <w:t xml:space="preserve"> </w:t>
      </w:r>
      <w:r w:rsidRPr="00252154">
        <w:rPr>
          <w:lang w:val="en-US" w:eastAsia="ja-JP"/>
        </w:rPr>
        <w:t>NR; Base Station (BS) radio transmission and reception</w:t>
      </w:r>
      <w:r>
        <w:rPr>
          <w:lang w:val="en-US" w:eastAsia="ja-JP"/>
        </w:rPr>
        <w:t>”, 3GPP</w:t>
      </w:r>
    </w:p>
    <w:p w:rsidR="00252154" w:rsidRDefault="00252154" w:rsidP="00252154">
      <w:pPr>
        <w:numPr>
          <w:ilvl w:val="0"/>
          <w:numId w:val="1"/>
        </w:numPr>
        <w:rPr>
          <w:lang w:val="en-US" w:eastAsia="ja-JP"/>
        </w:rPr>
      </w:pPr>
      <w:r>
        <w:rPr>
          <w:lang w:val="en-US" w:eastAsia="ja-JP"/>
        </w:rPr>
        <w:t>“3GPP TS 36.133:</w:t>
      </w:r>
      <w:r w:rsidRPr="00B80589">
        <w:rPr>
          <w:lang w:val="en-US" w:eastAsia="ja-JP"/>
        </w:rPr>
        <w:t xml:space="preserve"> </w:t>
      </w:r>
      <w:r w:rsidRPr="00252154">
        <w:rPr>
          <w:lang w:val="en-US" w:eastAsia="ja-JP"/>
        </w:rPr>
        <w:t>Evolved Universal Terrestrial Radio Access (E-UTRA); Requirements for support of radio resource management</w:t>
      </w:r>
      <w:r>
        <w:rPr>
          <w:lang w:val="en-US" w:eastAsia="ja-JP"/>
        </w:rPr>
        <w:t>”, 3GPP</w:t>
      </w:r>
    </w:p>
    <w:p w:rsidR="00252154" w:rsidRDefault="00252154" w:rsidP="00252154">
      <w:pPr>
        <w:numPr>
          <w:ilvl w:val="0"/>
          <w:numId w:val="1"/>
        </w:numPr>
        <w:rPr>
          <w:lang w:val="en-US" w:eastAsia="ja-JP"/>
        </w:rPr>
      </w:pPr>
      <w:r>
        <w:rPr>
          <w:lang w:val="en-US" w:eastAsia="ja-JP"/>
        </w:rPr>
        <w:t>“3GPP TS 38.133:</w:t>
      </w:r>
      <w:r w:rsidRPr="00B80589">
        <w:rPr>
          <w:lang w:val="en-US" w:eastAsia="ja-JP"/>
        </w:rPr>
        <w:t xml:space="preserve"> </w:t>
      </w:r>
      <w:r w:rsidRPr="00252154">
        <w:rPr>
          <w:lang w:val="en-US" w:eastAsia="ja-JP"/>
        </w:rPr>
        <w:t>NR; Requirements for support of radio resource management</w:t>
      </w:r>
      <w:r>
        <w:rPr>
          <w:lang w:val="en-US" w:eastAsia="ja-JP"/>
        </w:rPr>
        <w:t>”, 3GPP</w:t>
      </w:r>
    </w:p>
    <w:p w:rsidR="00047351" w:rsidRDefault="00047351" w:rsidP="00047351">
      <w:pPr>
        <w:numPr>
          <w:ilvl w:val="0"/>
          <w:numId w:val="1"/>
        </w:numPr>
        <w:rPr>
          <w:lang w:val="en-US" w:eastAsia="ja-JP"/>
        </w:rPr>
      </w:pPr>
      <w:r w:rsidRPr="00047351">
        <w:rPr>
          <w:lang w:val="en-US" w:eastAsia="ja-JP"/>
        </w:rPr>
        <w:t>R4-1904369</w:t>
      </w:r>
      <w:r>
        <w:rPr>
          <w:lang w:val="en-US" w:eastAsia="ja-JP"/>
        </w:rPr>
        <w:t>,</w:t>
      </w:r>
      <w:r w:rsidRPr="00047351">
        <w:rPr>
          <w:lang w:val="en-US" w:eastAsia="ja-JP"/>
        </w:rPr>
        <w:tab/>
      </w:r>
      <w:r>
        <w:rPr>
          <w:lang w:val="en-US" w:eastAsia="ja-JP"/>
        </w:rPr>
        <w:t>“</w:t>
      </w:r>
      <w:r w:rsidRPr="00047351">
        <w:rPr>
          <w:lang w:val="en-US" w:eastAsia="ja-JP"/>
        </w:rPr>
        <w:t>Correction to NR BS TAE for intra-band non-contiguous CA</w:t>
      </w:r>
      <w:r>
        <w:rPr>
          <w:lang w:val="en-US" w:eastAsia="ja-JP"/>
        </w:rPr>
        <w:t>”, Ericsson,</w:t>
      </w:r>
      <w:r w:rsidRPr="00047351">
        <w:rPr>
          <w:lang w:val="en-US" w:eastAsia="ja-JP"/>
        </w:rPr>
        <w:t xml:space="preserve"> </w:t>
      </w:r>
      <w:r>
        <w:rPr>
          <w:lang w:val="en-US" w:eastAsia="ja-JP"/>
        </w:rPr>
        <w:t>RAN4 #90bis, April 2019</w:t>
      </w:r>
    </w:p>
    <w:p w:rsidR="00047351" w:rsidRDefault="00047351" w:rsidP="00047351">
      <w:pPr>
        <w:numPr>
          <w:ilvl w:val="0"/>
          <w:numId w:val="1"/>
        </w:numPr>
        <w:rPr>
          <w:lang w:val="en-US" w:eastAsia="ja-JP"/>
        </w:rPr>
      </w:pPr>
      <w:r w:rsidRPr="00047351">
        <w:rPr>
          <w:lang w:val="en-US" w:eastAsia="ja-JP"/>
        </w:rPr>
        <w:t>R4-1903844</w:t>
      </w:r>
      <w:r>
        <w:rPr>
          <w:lang w:val="en-US" w:eastAsia="ja-JP"/>
        </w:rPr>
        <w:t>,</w:t>
      </w:r>
      <w:r w:rsidRPr="00047351">
        <w:rPr>
          <w:lang w:val="en-US" w:eastAsia="ja-JP"/>
        </w:rPr>
        <w:tab/>
      </w:r>
      <w:r>
        <w:rPr>
          <w:lang w:val="en-US" w:eastAsia="ja-JP"/>
        </w:rPr>
        <w:t>“</w:t>
      </w:r>
      <w:r w:rsidRPr="00047351">
        <w:rPr>
          <w:lang w:val="en-US" w:eastAsia="ja-JP"/>
        </w:rPr>
        <w:t>Further discussion on BS intra-band NCCA TAE requirement</w:t>
      </w:r>
      <w:r>
        <w:rPr>
          <w:lang w:val="en-US" w:eastAsia="ja-JP"/>
        </w:rPr>
        <w:t>”, ZTE, RAN4 #90bis, April 2019</w:t>
      </w:r>
    </w:p>
    <w:sectPr w:rsidR="0004735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079B" w:rsidRDefault="00BC079B">
      <w:r>
        <w:separator/>
      </w:r>
    </w:p>
  </w:endnote>
  <w:endnote w:type="continuationSeparator" w:id="0">
    <w:p w:rsidR="00BC079B" w:rsidRDefault="00BC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w:altName w:val="Yu Gothic"/>
    <w:panose1 w:val="020B0400000000000000"/>
    <w:charset w:val="80"/>
    <w:family w:val="moder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079B" w:rsidRDefault="00BC079B">
      <w:r>
        <w:separator/>
      </w:r>
    </w:p>
  </w:footnote>
  <w:footnote w:type="continuationSeparator" w:id="0">
    <w:p w:rsidR="00BC079B" w:rsidRDefault="00BC07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33.75pt;height:23.25pt" o:bullet="t">
        <v:imagedata r:id="rId1" o:title="art1A8B"/>
      </v:shape>
    </w:pict>
  </w:numPicBullet>
  <w:abstractNum w:abstractNumId="0" w15:restartNumberingAfterBreak="0">
    <w:nsid w:val="0D412941"/>
    <w:multiLevelType w:val="hybridMultilevel"/>
    <w:tmpl w:val="BBB0BEE6"/>
    <w:lvl w:ilvl="0" w:tplc="2B780FB4">
      <w:start w:val="1"/>
      <w:numFmt w:val="bullet"/>
      <w:lvlText w:val="•"/>
      <w:lvlJc w:val="left"/>
      <w:pPr>
        <w:tabs>
          <w:tab w:val="num" w:pos="720"/>
        </w:tabs>
        <w:ind w:left="720" w:hanging="360"/>
      </w:pPr>
      <w:rPr>
        <w:rFonts w:ascii="Arial" w:hAnsi="Arial" w:hint="default"/>
      </w:rPr>
    </w:lvl>
    <w:lvl w:ilvl="1" w:tplc="A8BA5304">
      <w:start w:val="248"/>
      <w:numFmt w:val="bullet"/>
      <w:lvlText w:val="•"/>
      <w:lvlJc w:val="left"/>
      <w:pPr>
        <w:tabs>
          <w:tab w:val="num" w:pos="1440"/>
        </w:tabs>
        <w:ind w:left="1440" w:hanging="360"/>
      </w:pPr>
      <w:rPr>
        <w:rFonts w:ascii="Arial" w:hAnsi="Arial" w:hint="default"/>
      </w:rPr>
    </w:lvl>
    <w:lvl w:ilvl="2" w:tplc="222C5AC4">
      <w:start w:val="248"/>
      <w:numFmt w:val="bullet"/>
      <w:lvlText w:val="•"/>
      <w:lvlJc w:val="left"/>
      <w:pPr>
        <w:tabs>
          <w:tab w:val="num" w:pos="2160"/>
        </w:tabs>
        <w:ind w:left="2160" w:hanging="360"/>
      </w:pPr>
      <w:rPr>
        <w:rFonts w:ascii="Arial" w:hAnsi="Arial" w:hint="default"/>
      </w:rPr>
    </w:lvl>
    <w:lvl w:ilvl="3" w:tplc="6CF6A48C" w:tentative="1">
      <w:start w:val="1"/>
      <w:numFmt w:val="bullet"/>
      <w:lvlText w:val="•"/>
      <w:lvlJc w:val="left"/>
      <w:pPr>
        <w:tabs>
          <w:tab w:val="num" w:pos="2880"/>
        </w:tabs>
        <w:ind w:left="2880" w:hanging="360"/>
      </w:pPr>
      <w:rPr>
        <w:rFonts w:ascii="Arial" w:hAnsi="Arial" w:hint="default"/>
      </w:rPr>
    </w:lvl>
    <w:lvl w:ilvl="4" w:tplc="307A2670" w:tentative="1">
      <w:start w:val="1"/>
      <w:numFmt w:val="bullet"/>
      <w:lvlText w:val="•"/>
      <w:lvlJc w:val="left"/>
      <w:pPr>
        <w:tabs>
          <w:tab w:val="num" w:pos="3600"/>
        </w:tabs>
        <w:ind w:left="3600" w:hanging="360"/>
      </w:pPr>
      <w:rPr>
        <w:rFonts w:ascii="Arial" w:hAnsi="Arial" w:hint="default"/>
      </w:rPr>
    </w:lvl>
    <w:lvl w:ilvl="5" w:tplc="1610E306" w:tentative="1">
      <w:start w:val="1"/>
      <w:numFmt w:val="bullet"/>
      <w:lvlText w:val="•"/>
      <w:lvlJc w:val="left"/>
      <w:pPr>
        <w:tabs>
          <w:tab w:val="num" w:pos="4320"/>
        </w:tabs>
        <w:ind w:left="4320" w:hanging="360"/>
      </w:pPr>
      <w:rPr>
        <w:rFonts w:ascii="Arial" w:hAnsi="Arial" w:hint="default"/>
      </w:rPr>
    </w:lvl>
    <w:lvl w:ilvl="6" w:tplc="FB768958" w:tentative="1">
      <w:start w:val="1"/>
      <w:numFmt w:val="bullet"/>
      <w:lvlText w:val="•"/>
      <w:lvlJc w:val="left"/>
      <w:pPr>
        <w:tabs>
          <w:tab w:val="num" w:pos="5040"/>
        </w:tabs>
        <w:ind w:left="5040" w:hanging="360"/>
      </w:pPr>
      <w:rPr>
        <w:rFonts w:ascii="Arial" w:hAnsi="Arial" w:hint="default"/>
      </w:rPr>
    </w:lvl>
    <w:lvl w:ilvl="7" w:tplc="7D8CF27E" w:tentative="1">
      <w:start w:val="1"/>
      <w:numFmt w:val="bullet"/>
      <w:lvlText w:val="•"/>
      <w:lvlJc w:val="left"/>
      <w:pPr>
        <w:tabs>
          <w:tab w:val="num" w:pos="5760"/>
        </w:tabs>
        <w:ind w:left="5760" w:hanging="360"/>
      </w:pPr>
      <w:rPr>
        <w:rFonts w:ascii="Arial" w:hAnsi="Arial" w:hint="default"/>
      </w:rPr>
    </w:lvl>
    <w:lvl w:ilvl="8" w:tplc="77EAC3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E878C9"/>
    <w:multiLevelType w:val="hybridMultilevel"/>
    <w:tmpl w:val="1370EDCC"/>
    <w:lvl w:ilvl="0" w:tplc="4614F3F8">
      <w:start w:val="1"/>
      <w:numFmt w:val="bullet"/>
      <w:lvlText w:val=""/>
      <w:lvlJc w:val="left"/>
      <w:pPr>
        <w:ind w:left="764" w:hanging="480"/>
      </w:pPr>
      <w:rPr>
        <w:rFonts w:ascii="Symbol" w:hAnsi="Symbol"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3" w15:restartNumberingAfterBreak="0">
    <w:nsid w:val="2FE938F4"/>
    <w:multiLevelType w:val="hybridMultilevel"/>
    <w:tmpl w:val="2DA477AA"/>
    <w:lvl w:ilvl="0" w:tplc="4AE8FEE8">
      <w:start w:val="1"/>
      <w:numFmt w:val="bullet"/>
      <w:lvlText w:val="•"/>
      <w:lvlJc w:val="left"/>
      <w:pPr>
        <w:tabs>
          <w:tab w:val="num" w:pos="720"/>
        </w:tabs>
        <w:ind w:left="720" w:hanging="360"/>
      </w:pPr>
      <w:rPr>
        <w:rFonts w:ascii="Arial" w:hAnsi="Arial" w:hint="default"/>
      </w:rPr>
    </w:lvl>
    <w:lvl w:ilvl="1" w:tplc="D5F483CA">
      <w:start w:val="1"/>
      <w:numFmt w:val="bullet"/>
      <w:lvlText w:val="•"/>
      <w:lvlJc w:val="left"/>
      <w:pPr>
        <w:tabs>
          <w:tab w:val="num" w:pos="1440"/>
        </w:tabs>
        <w:ind w:left="1440" w:hanging="360"/>
      </w:pPr>
      <w:rPr>
        <w:rFonts w:ascii="Arial" w:hAnsi="Arial" w:hint="default"/>
      </w:rPr>
    </w:lvl>
    <w:lvl w:ilvl="2" w:tplc="417218D6">
      <w:start w:val="1"/>
      <w:numFmt w:val="bullet"/>
      <w:lvlText w:val="•"/>
      <w:lvlJc w:val="left"/>
      <w:pPr>
        <w:tabs>
          <w:tab w:val="num" w:pos="2160"/>
        </w:tabs>
        <w:ind w:left="2160" w:hanging="360"/>
      </w:pPr>
      <w:rPr>
        <w:rFonts w:ascii="Arial" w:hAnsi="Arial" w:hint="default"/>
      </w:rPr>
    </w:lvl>
    <w:lvl w:ilvl="3" w:tplc="3E98C052" w:tentative="1">
      <w:start w:val="1"/>
      <w:numFmt w:val="bullet"/>
      <w:lvlText w:val="•"/>
      <w:lvlJc w:val="left"/>
      <w:pPr>
        <w:tabs>
          <w:tab w:val="num" w:pos="2880"/>
        </w:tabs>
        <w:ind w:left="2880" w:hanging="360"/>
      </w:pPr>
      <w:rPr>
        <w:rFonts w:ascii="Arial" w:hAnsi="Arial" w:hint="default"/>
      </w:rPr>
    </w:lvl>
    <w:lvl w:ilvl="4" w:tplc="902679F4" w:tentative="1">
      <w:start w:val="1"/>
      <w:numFmt w:val="bullet"/>
      <w:lvlText w:val="•"/>
      <w:lvlJc w:val="left"/>
      <w:pPr>
        <w:tabs>
          <w:tab w:val="num" w:pos="3600"/>
        </w:tabs>
        <w:ind w:left="3600" w:hanging="360"/>
      </w:pPr>
      <w:rPr>
        <w:rFonts w:ascii="Arial" w:hAnsi="Arial" w:hint="default"/>
      </w:rPr>
    </w:lvl>
    <w:lvl w:ilvl="5" w:tplc="F386EB6C" w:tentative="1">
      <w:start w:val="1"/>
      <w:numFmt w:val="bullet"/>
      <w:lvlText w:val="•"/>
      <w:lvlJc w:val="left"/>
      <w:pPr>
        <w:tabs>
          <w:tab w:val="num" w:pos="4320"/>
        </w:tabs>
        <w:ind w:left="4320" w:hanging="360"/>
      </w:pPr>
      <w:rPr>
        <w:rFonts w:ascii="Arial" w:hAnsi="Arial" w:hint="default"/>
      </w:rPr>
    </w:lvl>
    <w:lvl w:ilvl="6" w:tplc="369ED5AE" w:tentative="1">
      <w:start w:val="1"/>
      <w:numFmt w:val="bullet"/>
      <w:lvlText w:val="•"/>
      <w:lvlJc w:val="left"/>
      <w:pPr>
        <w:tabs>
          <w:tab w:val="num" w:pos="5040"/>
        </w:tabs>
        <w:ind w:left="5040" w:hanging="360"/>
      </w:pPr>
      <w:rPr>
        <w:rFonts w:ascii="Arial" w:hAnsi="Arial" w:hint="default"/>
      </w:rPr>
    </w:lvl>
    <w:lvl w:ilvl="7" w:tplc="EC480B38" w:tentative="1">
      <w:start w:val="1"/>
      <w:numFmt w:val="bullet"/>
      <w:lvlText w:val="•"/>
      <w:lvlJc w:val="left"/>
      <w:pPr>
        <w:tabs>
          <w:tab w:val="num" w:pos="5760"/>
        </w:tabs>
        <w:ind w:left="5760" w:hanging="360"/>
      </w:pPr>
      <w:rPr>
        <w:rFonts w:ascii="Arial" w:hAnsi="Arial" w:hint="default"/>
      </w:rPr>
    </w:lvl>
    <w:lvl w:ilvl="8" w:tplc="CBE6AD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5" w15:restartNumberingAfterBreak="0">
    <w:nsid w:val="3CC23053"/>
    <w:multiLevelType w:val="hybridMultilevel"/>
    <w:tmpl w:val="58063352"/>
    <w:lvl w:ilvl="0" w:tplc="2B92D576">
      <w:start w:val="1"/>
      <w:numFmt w:val="bullet"/>
      <w:lvlText w:val="•"/>
      <w:lvlJc w:val="left"/>
      <w:pPr>
        <w:tabs>
          <w:tab w:val="num" w:pos="720"/>
        </w:tabs>
        <w:ind w:left="720" w:hanging="360"/>
      </w:pPr>
      <w:rPr>
        <w:rFonts w:ascii="Arial" w:hAnsi="Arial" w:hint="default"/>
      </w:rPr>
    </w:lvl>
    <w:lvl w:ilvl="1" w:tplc="918C35FC" w:tentative="1">
      <w:start w:val="1"/>
      <w:numFmt w:val="bullet"/>
      <w:lvlText w:val="•"/>
      <w:lvlJc w:val="left"/>
      <w:pPr>
        <w:tabs>
          <w:tab w:val="num" w:pos="1440"/>
        </w:tabs>
        <w:ind w:left="1440" w:hanging="360"/>
      </w:pPr>
      <w:rPr>
        <w:rFonts w:ascii="Arial" w:hAnsi="Arial" w:hint="default"/>
      </w:rPr>
    </w:lvl>
    <w:lvl w:ilvl="2" w:tplc="7292D2E2" w:tentative="1">
      <w:start w:val="1"/>
      <w:numFmt w:val="bullet"/>
      <w:lvlText w:val="•"/>
      <w:lvlJc w:val="left"/>
      <w:pPr>
        <w:tabs>
          <w:tab w:val="num" w:pos="2160"/>
        </w:tabs>
        <w:ind w:left="2160" w:hanging="360"/>
      </w:pPr>
      <w:rPr>
        <w:rFonts w:ascii="Arial" w:hAnsi="Arial" w:hint="default"/>
      </w:rPr>
    </w:lvl>
    <w:lvl w:ilvl="3" w:tplc="BC2219DC" w:tentative="1">
      <w:start w:val="1"/>
      <w:numFmt w:val="bullet"/>
      <w:lvlText w:val="•"/>
      <w:lvlJc w:val="left"/>
      <w:pPr>
        <w:tabs>
          <w:tab w:val="num" w:pos="2880"/>
        </w:tabs>
        <w:ind w:left="2880" w:hanging="360"/>
      </w:pPr>
      <w:rPr>
        <w:rFonts w:ascii="Arial" w:hAnsi="Arial" w:hint="default"/>
      </w:rPr>
    </w:lvl>
    <w:lvl w:ilvl="4" w:tplc="8E3401A0" w:tentative="1">
      <w:start w:val="1"/>
      <w:numFmt w:val="bullet"/>
      <w:lvlText w:val="•"/>
      <w:lvlJc w:val="left"/>
      <w:pPr>
        <w:tabs>
          <w:tab w:val="num" w:pos="3600"/>
        </w:tabs>
        <w:ind w:left="3600" w:hanging="360"/>
      </w:pPr>
      <w:rPr>
        <w:rFonts w:ascii="Arial" w:hAnsi="Arial" w:hint="default"/>
      </w:rPr>
    </w:lvl>
    <w:lvl w:ilvl="5" w:tplc="BA3058C4" w:tentative="1">
      <w:start w:val="1"/>
      <w:numFmt w:val="bullet"/>
      <w:lvlText w:val="•"/>
      <w:lvlJc w:val="left"/>
      <w:pPr>
        <w:tabs>
          <w:tab w:val="num" w:pos="4320"/>
        </w:tabs>
        <w:ind w:left="4320" w:hanging="360"/>
      </w:pPr>
      <w:rPr>
        <w:rFonts w:ascii="Arial" w:hAnsi="Arial" w:hint="default"/>
      </w:rPr>
    </w:lvl>
    <w:lvl w:ilvl="6" w:tplc="C644D8B2" w:tentative="1">
      <w:start w:val="1"/>
      <w:numFmt w:val="bullet"/>
      <w:lvlText w:val="•"/>
      <w:lvlJc w:val="left"/>
      <w:pPr>
        <w:tabs>
          <w:tab w:val="num" w:pos="5040"/>
        </w:tabs>
        <w:ind w:left="5040" w:hanging="360"/>
      </w:pPr>
      <w:rPr>
        <w:rFonts w:ascii="Arial" w:hAnsi="Arial" w:hint="default"/>
      </w:rPr>
    </w:lvl>
    <w:lvl w:ilvl="7" w:tplc="C73CF568" w:tentative="1">
      <w:start w:val="1"/>
      <w:numFmt w:val="bullet"/>
      <w:lvlText w:val="•"/>
      <w:lvlJc w:val="left"/>
      <w:pPr>
        <w:tabs>
          <w:tab w:val="num" w:pos="5760"/>
        </w:tabs>
        <w:ind w:left="5760" w:hanging="360"/>
      </w:pPr>
      <w:rPr>
        <w:rFonts w:ascii="Arial" w:hAnsi="Arial" w:hint="default"/>
      </w:rPr>
    </w:lvl>
    <w:lvl w:ilvl="8" w:tplc="17EE65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7"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8"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10"/>
  </w:num>
  <w:num w:numId="4">
    <w:abstractNumId w:val="11"/>
  </w:num>
  <w:num w:numId="5">
    <w:abstractNumId w:val="4"/>
  </w:num>
  <w:num w:numId="6">
    <w:abstractNumId w:val="8"/>
  </w:num>
  <w:num w:numId="7">
    <w:abstractNumId w:val="7"/>
  </w:num>
  <w:num w:numId="8">
    <w:abstractNumId w:val="6"/>
  </w:num>
  <w:num w:numId="9">
    <w:abstractNumId w:val="3"/>
  </w:num>
  <w:num w:numId="10">
    <w:abstractNumId w:val="0"/>
  </w:num>
  <w:num w:numId="11">
    <w:abstractNumId w:val="5"/>
  </w:num>
  <w:num w:numId="1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0FBD"/>
    <w:rsid w:val="000027ED"/>
    <w:rsid w:val="0000379E"/>
    <w:rsid w:val="000037AF"/>
    <w:rsid w:val="00003C52"/>
    <w:rsid w:val="00004537"/>
    <w:rsid w:val="00007948"/>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351"/>
    <w:rsid w:val="00047943"/>
    <w:rsid w:val="0005300E"/>
    <w:rsid w:val="000612D1"/>
    <w:rsid w:val="000621A8"/>
    <w:rsid w:val="0006400E"/>
    <w:rsid w:val="00064B3E"/>
    <w:rsid w:val="00065F1C"/>
    <w:rsid w:val="00066891"/>
    <w:rsid w:val="0006768C"/>
    <w:rsid w:val="00071032"/>
    <w:rsid w:val="00073860"/>
    <w:rsid w:val="00075B66"/>
    <w:rsid w:val="000766B3"/>
    <w:rsid w:val="00081939"/>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71"/>
    <w:rsid w:val="00123B5C"/>
    <w:rsid w:val="00124082"/>
    <w:rsid w:val="001301B1"/>
    <w:rsid w:val="00130E89"/>
    <w:rsid w:val="00131558"/>
    <w:rsid w:val="00132D36"/>
    <w:rsid w:val="00141A2F"/>
    <w:rsid w:val="00142771"/>
    <w:rsid w:val="00142831"/>
    <w:rsid w:val="00142F43"/>
    <w:rsid w:val="00143316"/>
    <w:rsid w:val="00145505"/>
    <w:rsid w:val="00152C33"/>
    <w:rsid w:val="00153528"/>
    <w:rsid w:val="0015475F"/>
    <w:rsid w:val="00160A47"/>
    <w:rsid w:val="00160B00"/>
    <w:rsid w:val="00162698"/>
    <w:rsid w:val="00162F78"/>
    <w:rsid w:val="001643AC"/>
    <w:rsid w:val="00171980"/>
    <w:rsid w:val="00171D07"/>
    <w:rsid w:val="0017516C"/>
    <w:rsid w:val="00175AB9"/>
    <w:rsid w:val="00181060"/>
    <w:rsid w:val="00181490"/>
    <w:rsid w:val="00182304"/>
    <w:rsid w:val="0018379B"/>
    <w:rsid w:val="0018585B"/>
    <w:rsid w:val="00192CE3"/>
    <w:rsid w:val="00193116"/>
    <w:rsid w:val="001A08AA"/>
    <w:rsid w:val="001A1DAC"/>
    <w:rsid w:val="001A3120"/>
    <w:rsid w:val="001B0237"/>
    <w:rsid w:val="001B1C3C"/>
    <w:rsid w:val="001B32BC"/>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FBD"/>
    <w:rsid w:val="00222897"/>
    <w:rsid w:val="00222AD3"/>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1779"/>
    <w:rsid w:val="00252154"/>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2085"/>
    <w:rsid w:val="00372348"/>
    <w:rsid w:val="00372B4D"/>
    <w:rsid w:val="0037533A"/>
    <w:rsid w:val="00376440"/>
    <w:rsid w:val="003772F3"/>
    <w:rsid w:val="00381C9C"/>
    <w:rsid w:val="003823D1"/>
    <w:rsid w:val="003919B6"/>
    <w:rsid w:val="00394970"/>
    <w:rsid w:val="00395673"/>
    <w:rsid w:val="00396A8B"/>
    <w:rsid w:val="003A0B5D"/>
    <w:rsid w:val="003A1829"/>
    <w:rsid w:val="003A1FAD"/>
    <w:rsid w:val="003A377C"/>
    <w:rsid w:val="003A4CB3"/>
    <w:rsid w:val="003A665A"/>
    <w:rsid w:val="003B3F20"/>
    <w:rsid w:val="003B6D17"/>
    <w:rsid w:val="003B7DAB"/>
    <w:rsid w:val="003C05A5"/>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369A"/>
    <w:rsid w:val="003E3A7C"/>
    <w:rsid w:val="003E3CD8"/>
    <w:rsid w:val="003E604E"/>
    <w:rsid w:val="003F038E"/>
    <w:rsid w:val="003F1D9E"/>
    <w:rsid w:val="003F2E02"/>
    <w:rsid w:val="003F41C4"/>
    <w:rsid w:val="003F4CA1"/>
    <w:rsid w:val="003F51B5"/>
    <w:rsid w:val="003F6038"/>
    <w:rsid w:val="003F62B5"/>
    <w:rsid w:val="00400263"/>
    <w:rsid w:val="00400ADD"/>
    <w:rsid w:val="004017C2"/>
    <w:rsid w:val="0040419A"/>
    <w:rsid w:val="00406887"/>
    <w:rsid w:val="0040756A"/>
    <w:rsid w:val="00415B46"/>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9156D"/>
    <w:rsid w:val="00492FDA"/>
    <w:rsid w:val="00497276"/>
    <w:rsid w:val="00497809"/>
    <w:rsid w:val="004A0D35"/>
    <w:rsid w:val="004A17C7"/>
    <w:rsid w:val="004A41BD"/>
    <w:rsid w:val="004A782C"/>
    <w:rsid w:val="004A7ADF"/>
    <w:rsid w:val="004B03DA"/>
    <w:rsid w:val="004B1EF8"/>
    <w:rsid w:val="004B5CEC"/>
    <w:rsid w:val="004B693D"/>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10BE"/>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70646B"/>
    <w:rsid w:val="007066FA"/>
    <w:rsid w:val="00707941"/>
    <w:rsid w:val="00710CF4"/>
    <w:rsid w:val="00712498"/>
    <w:rsid w:val="007128E1"/>
    <w:rsid w:val="00712B9A"/>
    <w:rsid w:val="00712FE7"/>
    <w:rsid w:val="00712FE9"/>
    <w:rsid w:val="00713D69"/>
    <w:rsid w:val="007151DB"/>
    <w:rsid w:val="00715BCC"/>
    <w:rsid w:val="00716E9F"/>
    <w:rsid w:val="00721FC8"/>
    <w:rsid w:val="00722F56"/>
    <w:rsid w:val="00723BD0"/>
    <w:rsid w:val="00724F51"/>
    <w:rsid w:val="00726D4D"/>
    <w:rsid w:val="00727982"/>
    <w:rsid w:val="007366B9"/>
    <w:rsid w:val="00736A92"/>
    <w:rsid w:val="0074030B"/>
    <w:rsid w:val="0074101D"/>
    <w:rsid w:val="00741A10"/>
    <w:rsid w:val="00742689"/>
    <w:rsid w:val="00747A2C"/>
    <w:rsid w:val="00750CEB"/>
    <w:rsid w:val="00752857"/>
    <w:rsid w:val="00762C4B"/>
    <w:rsid w:val="007649DD"/>
    <w:rsid w:val="0076572F"/>
    <w:rsid w:val="00765FC8"/>
    <w:rsid w:val="007661AA"/>
    <w:rsid w:val="007664C6"/>
    <w:rsid w:val="0076656E"/>
    <w:rsid w:val="00770473"/>
    <w:rsid w:val="00770490"/>
    <w:rsid w:val="00774217"/>
    <w:rsid w:val="00774B4C"/>
    <w:rsid w:val="00774E7C"/>
    <w:rsid w:val="007755E7"/>
    <w:rsid w:val="007808DE"/>
    <w:rsid w:val="00780A03"/>
    <w:rsid w:val="0078274A"/>
    <w:rsid w:val="00782BF1"/>
    <w:rsid w:val="007834B7"/>
    <w:rsid w:val="00783BA1"/>
    <w:rsid w:val="00785196"/>
    <w:rsid w:val="00785654"/>
    <w:rsid w:val="00793494"/>
    <w:rsid w:val="007A28DC"/>
    <w:rsid w:val="007A29A0"/>
    <w:rsid w:val="007A446F"/>
    <w:rsid w:val="007A52C4"/>
    <w:rsid w:val="007A5410"/>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4014"/>
    <w:rsid w:val="00885543"/>
    <w:rsid w:val="00885DDB"/>
    <w:rsid w:val="0089003D"/>
    <w:rsid w:val="008920BD"/>
    <w:rsid w:val="008921D3"/>
    <w:rsid w:val="00893454"/>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47F7"/>
    <w:rsid w:val="00922EBD"/>
    <w:rsid w:val="00923B69"/>
    <w:rsid w:val="00924953"/>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5EC6"/>
    <w:rsid w:val="00966889"/>
    <w:rsid w:val="009733BF"/>
    <w:rsid w:val="009776DE"/>
    <w:rsid w:val="0098134C"/>
    <w:rsid w:val="009819AE"/>
    <w:rsid w:val="009829B0"/>
    <w:rsid w:val="00983910"/>
    <w:rsid w:val="00983A27"/>
    <w:rsid w:val="00983FE9"/>
    <w:rsid w:val="009864AF"/>
    <w:rsid w:val="009928D4"/>
    <w:rsid w:val="00996AC8"/>
    <w:rsid w:val="009A04AF"/>
    <w:rsid w:val="009A2280"/>
    <w:rsid w:val="009A2C6C"/>
    <w:rsid w:val="009A43A2"/>
    <w:rsid w:val="009B1D86"/>
    <w:rsid w:val="009B2CB0"/>
    <w:rsid w:val="009B34E2"/>
    <w:rsid w:val="009B39E0"/>
    <w:rsid w:val="009B3D9F"/>
    <w:rsid w:val="009B48F1"/>
    <w:rsid w:val="009B6CC1"/>
    <w:rsid w:val="009C0727"/>
    <w:rsid w:val="009C128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3F7E"/>
    <w:rsid w:val="00A008E7"/>
    <w:rsid w:val="00A0219E"/>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656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D86"/>
    <w:rsid w:val="00AE2DD6"/>
    <w:rsid w:val="00AE35E4"/>
    <w:rsid w:val="00AE747D"/>
    <w:rsid w:val="00AE77EC"/>
    <w:rsid w:val="00AF06EF"/>
    <w:rsid w:val="00AF1CC9"/>
    <w:rsid w:val="00AF23FD"/>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970"/>
    <w:rsid w:val="00B876F0"/>
    <w:rsid w:val="00B87ECE"/>
    <w:rsid w:val="00B9181B"/>
    <w:rsid w:val="00B925DD"/>
    <w:rsid w:val="00B93E9B"/>
    <w:rsid w:val="00B9543F"/>
    <w:rsid w:val="00B95A46"/>
    <w:rsid w:val="00BA146A"/>
    <w:rsid w:val="00BA1CBC"/>
    <w:rsid w:val="00BA1D66"/>
    <w:rsid w:val="00BB087F"/>
    <w:rsid w:val="00BB16F4"/>
    <w:rsid w:val="00BB5FFE"/>
    <w:rsid w:val="00BB6A38"/>
    <w:rsid w:val="00BC079B"/>
    <w:rsid w:val="00BC40A6"/>
    <w:rsid w:val="00BC4CBB"/>
    <w:rsid w:val="00BC5AE7"/>
    <w:rsid w:val="00BC7FED"/>
    <w:rsid w:val="00BD14EA"/>
    <w:rsid w:val="00BD3CDD"/>
    <w:rsid w:val="00BD7B79"/>
    <w:rsid w:val="00BE1672"/>
    <w:rsid w:val="00BE31EA"/>
    <w:rsid w:val="00BE3E00"/>
    <w:rsid w:val="00BE48B6"/>
    <w:rsid w:val="00BE7095"/>
    <w:rsid w:val="00BE78BD"/>
    <w:rsid w:val="00BF03BB"/>
    <w:rsid w:val="00BF15F6"/>
    <w:rsid w:val="00BF28CB"/>
    <w:rsid w:val="00BF50DB"/>
    <w:rsid w:val="00BF62CD"/>
    <w:rsid w:val="00BF7F29"/>
    <w:rsid w:val="00BF7F3A"/>
    <w:rsid w:val="00C04118"/>
    <w:rsid w:val="00C0555D"/>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658"/>
    <w:rsid w:val="00C80CB7"/>
    <w:rsid w:val="00C816A2"/>
    <w:rsid w:val="00C8176D"/>
    <w:rsid w:val="00C81962"/>
    <w:rsid w:val="00C82C1B"/>
    <w:rsid w:val="00C83065"/>
    <w:rsid w:val="00C8380C"/>
    <w:rsid w:val="00C84376"/>
    <w:rsid w:val="00C847AC"/>
    <w:rsid w:val="00C9099B"/>
    <w:rsid w:val="00C91E2D"/>
    <w:rsid w:val="00C93060"/>
    <w:rsid w:val="00C94692"/>
    <w:rsid w:val="00C95CAE"/>
    <w:rsid w:val="00C96A15"/>
    <w:rsid w:val="00C96A24"/>
    <w:rsid w:val="00C97B91"/>
    <w:rsid w:val="00CA3229"/>
    <w:rsid w:val="00CA32E8"/>
    <w:rsid w:val="00CA40DE"/>
    <w:rsid w:val="00CA559C"/>
    <w:rsid w:val="00CA6520"/>
    <w:rsid w:val="00CB1793"/>
    <w:rsid w:val="00CB203F"/>
    <w:rsid w:val="00CB2E29"/>
    <w:rsid w:val="00CB3271"/>
    <w:rsid w:val="00CB3746"/>
    <w:rsid w:val="00CB4BD3"/>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1288"/>
    <w:rsid w:val="00CF1369"/>
    <w:rsid w:val="00CF1BA7"/>
    <w:rsid w:val="00CF21D8"/>
    <w:rsid w:val="00CF3CC6"/>
    <w:rsid w:val="00CF6D00"/>
    <w:rsid w:val="00CF71D1"/>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50D6E"/>
    <w:rsid w:val="00D50DBD"/>
    <w:rsid w:val="00D520E4"/>
    <w:rsid w:val="00D526A5"/>
    <w:rsid w:val="00D53BFB"/>
    <w:rsid w:val="00D5415B"/>
    <w:rsid w:val="00D55F77"/>
    <w:rsid w:val="00D575F4"/>
    <w:rsid w:val="00D5781D"/>
    <w:rsid w:val="00D57DFA"/>
    <w:rsid w:val="00D60B9E"/>
    <w:rsid w:val="00D651AF"/>
    <w:rsid w:val="00D66315"/>
    <w:rsid w:val="00D70E88"/>
    <w:rsid w:val="00D70F9D"/>
    <w:rsid w:val="00D71D3B"/>
    <w:rsid w:val="00D72253"/>
    <w:rsid w:val="00D75D35"/>
    <w:rsid w:val="00D80F86"/>
    <w:rsid w:val="00D82619"/>
    <w:rsid w:val="00D831F6"/>
    <w:rsid w:val="00D839B8"/>
    <w:rsid w:val="00D83AAD"/>
    <w:rsid w:val="00D84411"/>
    <w:rsid w:val="00D90132"/>
    <w:rsid w:val="00D9135B"/>
    <w:rsid w:val="00D91D89"/>
    <w:rsid w:val="00DA025E"/>
    <w:rsid w:val="00DA518A"/>
    <w:rsid w:val="00DA706D"/>
    <w:rsid w:val="00DB0073"/>
    <w:rsid w:val="00DB0BA5"/>
    <w:rsid w:val="00DB1284"/>
    <w:rsid w:val="00DC1331"/>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4F19"/>
    <w:rsid w:val="00DF5A00"/>
    <w:rsid w:val="00E02397"/>
    <w:rsid w:val="00E064D0"/>
    <w:rsid w:val="00E06B0C"/>
    <w:rsid w:val="00E07B9A"/>
    <w:rsid w:val="00E105C4"/>
    <w:rsid w:val="00E11534"/>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629F"/>
    <w:rsid w:val="00E86553"/>
    <w:rsid w:val="00E902E8"/>
    <w:rsid w:val="00E908D1"/>
    <w:rsid w:val="00E90F26"/>
    <w:rsid w:val="00E924F9"/>
    <w:rsid w:val="00E977FD"/>
    <w:rsid w:val="00EA1146"/>
    <w:rsid w:val="00EA15EB"/>
    <w:rsid w:val="00EA20D4"/>
    <w:rsid w:val="00EA3C24"/>
    <w:rsid w:val="00EA5C32"/>
    <w:rsid w:val="00EA7433"/>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E78DA"/>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5FBB"/>
    <w:rsid w:val="00F260BB"/>
    <w:rsid w:val="00F262D7"/>
    <w:rsid w:val="00F30B22"/>
    <w:rsid w:val="00F31369"/>
    <w:rsid w:val="00F31F73"/>
    <w:rsid w:val="00F3281B"/>
    <w:rsid w:val="00F33C35"/>
    <w:rsid w:val="00F35313"/>
    <w:rsid w:val="00F3578A"/>
    <w:rsid w:val="00F41776"/>
    <w:rsid w:val="00F43104"/>
    <w:rsid w:val="00F44A61"/>
    <w:rsid w:val="00F4734D"/>
    <w:rsid w:val="00F47D81"/>
    <w:rsid w:val="00F52F19"/>
    <w:rsid w:val="00F55467"/>
    <w:rsid w:val="00F56DD6"/>
    <w:rsid w:val="00F6390F"/>
    <w:rsid w:val="00F63A09"/>
    <w:rsid w:val="00F640C8"/>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5BBA"/>
    <w:rsid w:val="00FB6375"/>
    <w:rsid w:val="00FC051F"/>
    <w:rsid w:val="00FC542F"/>
    <w:rsid w:val="00FC6C4B"/>
    <w:rsid w:val="00FC7090"/>
    <w:rsid w:val="00FC713E"/>
    <w:rsid w:val="00FD2747"/>
    <w:rsid w:val="00FD650F"/>
    <w:rsid w:val="00FF2E3D"/>
    <w:rsid w:val="00FF4D6B"/>
    <w:rsid w:val="00FF67A0"/>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49DD9C9"/>
  <w15:docId w15:val="{A1ABAA8D-9945-4DD1-9A78-4DD147F97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6560">
      <w:bodyDiv w:val="1"/>
      <w:marLeft w:val="0"/>
      <w:marRight w:val="0"/>
      <w:marTop w:val="0"/>
      <w:marBottom w:val="0"/>
      <w:divBdr>
        <w:top w:val="none" w:sz="0" w:space="0" w:color="auto"/>
        <w:left w:val="none" w:sz="0" w:space="0" w:color="auto"/>
        <w:bottom w:val="none" w:sz="0" w:space="0" w:color="auto"/>
        <w:right w:val="none" w:sz="0" w:space="0" w:color="auto"/>
      </w:divBdr>
      <w:divsChild>
        <w:div w:id="2058161576">
          <w:marLeft w:val="0"/>
          <w:marRight w:val="0"/>
          <w:marTop w:val="0"/>
          <w:marBottom w:val="0"/>
          <w:divBdr>
            <w:top w:val="none" w:sz="0" w:space="0" w:color="auto"/>
            <w:left w:val="none" w:sz="0" w:space="0" w:color="auto"/>
            <w:bottom w:val="none" w:sz="0" w:space="0" w:color="auto"/>
            <w:right w:val="none" w:sz="0" w:space="0" w:color="auto"/>
          </w:divBdr>
          <w:divsChild>
            <w:div w:id="187378481">
              <w:marLeft w:val="0"/>
              <w:marRight w:val="0"/>
              <w:marTop w:val="0"/>
              <w:marBottom w:val="0"/>
              <w:divBdr>
                <w:top w:val="none" w:sz="0" w:space="0" w:color="auto"/>
                <w:left w:val="none" w:sz="0" w:space="0" w:color="auto"/>
                <w:bottom w:val="none" w:sz="0" w:space="0" w:color="auto"/>
                <w:right w:val="none" w:sz="0" w:space="0" w:color="auto"/>
              </w:divBdr>
              <w:divsChild>
                <w:div w:id="525872151">
                  <w:marLeft w:val="0"/>
                  <w:marRight w:val="0"/>
                  <w:marTop w:val="0"/>
                  <w:marBottom w:val="0"/>
                  <w:divBdr>
                    <w:top w:val="none" w:sz="0" w:space="0" w:color="auto"/>
                    <w:left w:val="none" w:sz="0" w:space="0" w:color="auto"/>
                    <w:bottom w:val="none" w:sz="0" w:space="0" w:color="auto"/>
                    <w:right w:val="none" w:sz="0" w:space="0" w:color="auto"/>
                  </w:divBdr>
                  <w:divsChild>
                    <w:div w:id="392699530">
                      <w:marLeft w:val="0"/>
                      <w:marRight w:val="0"/>
                      <w:marTop w:val="0"/>
                      <w:marBottom w:val="0"/>
                      <w:divBdr>
                        <w:top w:val="none" w:sz="0" w:space="0" w:color="auto"/>
                        <w:left w:val="none" w:sz="0" w:space="0" w:color="auto"/>
                        <w:bottom w:val="none" w:sz="0" w:space="0" w:color="auto"/>
                        <w:right w:val="none" w:sz="0" w:space="0" w:color="auto"/>
                      </w:divBdr>
                      <w:divsChild>
                        <w:div w:id="346176700">
                          <w:marLeft w:val="0"/>
                          <w:marRight w:val="0"/>
                          <w:marTop w:val="0"/>
                          <w:marBottom w:val="0"/>
                          <w:divBdr>
                            <w:top w:val="none" w:sz="0" w:space="0" w:color="auto"/>
                            <w:left w:val="none" w:sz="0" w:space="0" w:color="auto"/>
                            <w:bottom w:val="none" w:sz="0" w:space="0" w:color="auto"/>
                            <w:right w:val="none" w:sz="0" w:space="0" w:color="auto"/>
                          </w:divBdr>
                          <w:divsChild>
                            <w:div w:id="539636767">
                              <w:marLeft w:val="0"/>
                              <w:marRight w:val="0"/>
                              <w:marTop w:val="0"/>
                              <w:marBottom w:val="0"/>
                              <w:divBdr>
                                <w:top w:val="none" w:sz="0" w:space="0" w:color="auto"/>
                                <w:left w:val="none" w:sz="0" w:space="0" w:color="auto"/>
                                <w:bottom w:val="none" w:sz="0" w:space="0" w:color="auto"/>
                                <w:right w:val="none" w:sz="0" w:space="0" w:color="auto"/>
                              </w:divBdr>
                              <w:divsChild>
                                <w:div w:id="315767719">
                                  <w:marLeft w:val="0"/>
                                  <w:marRight w:val="0"/>
                                  <w:marTop w:val="0"/>
                                  <w:marBottom w:val="0"/>
                                  <w:divBdr>
                                    <w:top w:val="none" w:sz="0" w:space="0" w:color="auto"/>
                                    <w:left w:val="none" w:sz="0" w:space="0" w:color="auto"/>
                                    <w:bottom w:val="none" w:sz="0" w:space="0" w:color="auto"/>
                                    <w:right w:val="none" w:sz="0" w:space="0" w:color="auto"/>
                                  </w:divBdr>
                                  <w:divsChild>
                                    <w:div w:id="93942913">
                                      <w:marLeft w:val="0"/>
                                      <w:marRight w:val="0"/>
                                      <w:marTop w:val="0"/>
                                      <w:marBottom w:val="0"/>
                                      <w:divBdr>
                                        <w:top w:val="none" w:sz="0" w:space="0" w:color="auto"/>
                                        <w:left w:val="none" w:sz="0" w:space="0" w:color="auto"/>
                                        <w:bottom w:val="none" w:sz="0" w:space="0" w:color="auto"/>
                                        <w:right w:val="none" w:sz="0" w:space="0" w:color="auto"/>
                                      </w:divBdr>
                                      <w:divsChild>
                                        <w:div w:id="712774757">
                                          <w:marLeft w:val="0"/>
                                          <w:marRight w:val="0"/>
                                          <w:marTop w:val="0"/>
                                          <w:marBottom w:val="495"/>
                                          <w:divBdr>
                                            <w:top w:val="none" w:sz="0" w:space="0" w:color="auto"/>
                                            <w:left w:val="none" w:sz="0" w:space="0" w:color="auto"/>
                                            <w:bottom w:val="none" w:sz="0" w:space="0" w:color="auto"/>
                                            <w:right w:val="none" w:sz="0" w:space="0" w:color="auto"/>
                                          </w:divBdr>
                                          <w:divsChild>
                                            <w:div w:id="118327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095330">
      <w:bodyDiv w:val="1"/>
      <w:marLeft w:val="0"/>
      <w:marRight w:val="0"/>
      <w:marTop w:val="0"/>
      <w:marBottom w:val="0"/>
      <w:divBdr>
        <w:top w:val="none" w:sz="0" w:space="0" w:color="auto"/>
        <w:left w:val="none" w:sz="0" w:space="0" w:color="auto"/>
        <w:bottom w:val="none" w:sz="0" w:space="0" w:color="auto"/>
        <w:right w:val="none" w:sz="0" w:space="0" w:color="auto"/>
      </w:divBdr>
      <w:divsChild>
        <w:div w:id="98764230">
          <w:marLeft w:val="360"/>
          <w:marRight w:val="0"/>
          <w:marTop w:val="200"/>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7781087">
      <w:bodyDiv w:val="1"/>
      <w:marLeft w:val="0"/>
      <w:marRight w:val="0"/>
      <w:marTop w:val="0"/>
      <w:marBottom w:val="0"/>
      <w:divBdr>
        <w:top w:val="none" w:sz="0" w:space="0" w:color="auto"/>
        <w:left w:val="none" w:sz="0" w:space="0" w:color="auto"/>
        <w:bottom w:val="none" w:sz="0" w:space="0" w:color="auto"/>
        <w:right w:val="none" w:sz="0" w:space="0" w:color="auto"/>
      </w:divBdr>
      <w:divsChild>
        <w:div w:id="1706565776">
          <w:marLeft w:val="360"/>
          <w:marRight w:val="0"/>
          <w:marTop w:val="200"/>
          <w:marBottom w:val="0"/>
          <w:divBdr>
            <w:top w:val="none" w:sz="0" w:space="0" w:color="auto"/>
            <w:left w:val="none" w:sz="0" w:space="0" w:color="auto"/>
            <w:bottom w:val="none" w:sz="0" w:space="0" w:color="auto"/>
            <w:right w:val="none" w:sz="0" w:space="0" w:color="auto"/>
          </w:divBdr>
        </w:div>
        <w:div w:id="126120192">
          <w:marLeft w:val="1080"/>
          <w:marRight w:val="0"/>
          <w:marTop w:val="100"/>
          <w:marBottom w:val="0"/>
          <w:divBdr>
            <w:top w:val="none" w:sz="0" w:space="0" w:color="auto"/>
            <w:left w:val="none" w:sz="0" w:space="0" w:color="auto"/>
            <w:bottom w:val="none" w:sz="0" w:space="0" w:color="auto"/>
            <w:right w:val="none" w:sz="0" w:space="0" w:color="auto"/>
          </w:divBdr>
        </w:div>
        <w:div w:id="58528381">
          <w:marLeft w:val="1800"/>
          <w:marRight w:val="0"/>
          <w:marTop w:val="100"/>
          <w:marBottom w:val="0"/>
          <w:divBdr>
            <w:top w:val="none" w:sz="0" w:space="0" w:color="auto"/>
            <w:left w:val="none" w:sz="0" w:space="0" w:color="auto"/>
            <w:bottom w:val="none" w:sz="0" w:space="0" w:color="auto"/>
            <w:right w:val="none" w:sz="0" w:space="0" w:color="auto"/>
          </w:divBdr>
        </w:div>
        <w:div w:id="117572646">
          <w:marLeft w:val="1800"/>
          <w:marRight w:val="0"/>
          <w:marTop w:val="100"/>
          <w:marBottom w:val="0"/>
          <w:divBdr>
            <w:top w:val="none" w:sz="0" w:space="0" w:color="auto"/>
            <w:left w:val="none" w:sz="0" w:space="0" w:color="auto"/>
            <w:bottom w:val="none" w:sz="0" w:space="0" w:color="auto"/>
            <w:right w:val="none" w:sz="0" w:space="0" w:color="auto"/>
          </w:divBdr>
        </w:div>
        <w:div w:id="80101390">
          <w:marLeft w:val="1080"/>
          <w:marRight w:val="0"/>
          <w:marTop w:val="100"/>
          <w:marBottom w:val="0"/>
          <w:divBdr>
            <w:top w:val="none" w:sz="0" w:space="0" w:color="auto"/>
            <w:left w:val="none" w:sz="0" w:space="0" w:color="auto"/>
            <w:bottom w:val="none" w:sz="0" w:space="0" w:color="auto"/>
            <w:right w:val="none" w:sz="0" w:space="0" w:color="auto"/>
          </w:divBdr>
        </w:div>
        <w:div w:id="532881547">
          <w:marLeft w:val="1800"/>
          <w:marRight w:val="0"/>
          <w:marTop w:val="100"/>
          <w:marBottom w:val="0"/>
          <w:divBdr>
            <w:top w:val="none" w:sz="0" w:space="0" w:color="auto"/>
            <w:left w:val="none" w:sz="0" w:space="0" w:color="auto"/>
            <w:bottom w:val="none" w:sz="0" w:space="0" w:color="auto"/>
            <w:right w:val="none" w:sz="0" w:space="0" w:color="auto"/>
          </w:divBdr>
        </w:div>
        <w:div w:id="1273516880">
          <w:marLeft w:val="1800"/>
          <w:marRight w:val="0"/>
          <w:marTop w:val="100"/>
          <w:marBottom w:val="0"/>
          <w:divBdr>
            <w:top w:val="none" w:sz="0" w:space="0" w:color="auto"/>
            <w:left w:val="none" w:sz="0" w:space="0" w:color="auto"/>
            <w:bottom w:val="none" w:sz="0" w:space="0" w:color="auto"/>
            <w:right w:val="none" w:sz="0" w:space="0" w:color="auto"/>
          </w:divBdr>
        </w:div>
        <w:div w:id="825588592">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3627125">
      <w:bodyDiv w:val="1"/>
      <w:marLeft w:val="0"/>
      <w:marRight w:val="0"/>
      <w:marTop w:val="0"/>
      <w:marBottom w:val="0"/>
      <w:divBdr>
        <w:top w:val="none" w:sz="0" w:space="0" w:color="auto"/>
        <w:left w:val="none" w:sz="0" w:space="0" w:color="auto"/>
        <w:bottom w:val="none" w:sz="0" w:space="0" w:color="auto"/>
        <w:right w:val="none" w:sz="0" w:space="0" w:color="auto"/>
      </w:divBdr>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38230684">
      <w:bodyDiv w:val="1"/>
      <w:marLeft w:val="0"/>
      <w:marRight w:val="0"/>
      <w:marTop w:val="0"/>
      <w:marBottom w:val="0"/>
      <w:divBdr>
        <w:top w:val="none" w:sz="0" w:space="0" w:color="auto"/>
        <w:left w:val="none" w:sz="0" w:space="0" w:color="auto"/>
        <w:bottom w:val="none" w:sz="0" w:space="0" w:color="auto"/>
        <w:right w:val="none" w:sz="0" w:space="0" w:color="auto"/>
      </w:divBdr>
      <w:divsChild>
        <w:div w:id="317998349">
          <w:marLeft w:val="360"/>
          <w:marRight w:val="0"/>
          <w:marTop w:val="200"/>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07965060">
      <w:bodyDiv w:val="1"/>
      <w:marLeft w:val="0"/>
      <w:marRight w:val="0"/>
      <w:marTop w:val="0"/>
      <w:marBottom w:val="0"/>
      <w:divBdr>
        <w:top w:val="none" w:sz="0" w:space="0" w:color="auto"/>
        <w:left w:val="none" w:sz="0" w:space="0" w:color="auto"/>
        <w:bottom w:val="none" w:sz="0" w:space="0" w:color="auto"/>
        <w:right w:val="none" w:sz="0" w:space="0" w:color="auto"/>
      </w:divBdr>
      <w:divsChild>
        <w:div w:id="1662808520">
          <w:marLeft w:val="0"/>
          <w:marRight w:val="0"/>
          <w:marTop w:val="0"/>
          <w:marBottom w:val="0"/>
          <w:divBdr>
            <w:top w:val="none" w:sz="0" w:space="0" w:color="auto"/>
            <w:left w:val="none" w:sz="0" w:space="0" w:color="auto"/>
            <w:bottom w:val="none" w:sz="0" w:space="0" w:color="auto"/>
            <w:right w:val="none" w:sz="0" w:space="0" w:color="auto"/>
          </w:divBdr>
          <w:divsChild>
            <w:div w:id="1730956443">
              <w:marLeft w:val="0"/>
              <w:marRight w:val="0"/>
              <w:marTop w:val="0"/>
              <w:marBottom w:val="0"/>
              <w:divBdr>
                <w:top w:val="none" w:sz="0" w:space="0" w:color="auto"/>
                <w:left w:val="none" w:sz="0" w:space="0" w:color="auto"/>
                <w:bottom w:val="none" w:sz="0" w:space="0" w:color="auto"/>
                <w:right w:val="none" w:sz="0" w:space="0" w:color="auto"/>
              </w:divBdr>
              <w:divsChild>
                <w:div w:id="1747917585">
                  <w:marLeft w:val="0"/>
                  <w:marRight w:val="0"/>
                  <w:marTop w:val="0"/>
                  <w:marBottom w:val="0"/>
                  <w:divBdr>
                    <w:top w:val="none" w:sz="0" w:space="0" w:color="auto"/>
                    <w:left w:val="none" w:sz="0" w:space="0" w:color="auto"/>
                    <w:bottom w:val="none" w:sz="0" w:space="0" w:color="auto"/>
                    <w:right w:val="none" w:sz="0" w:space="0" w:color="auto"/>
                  </w:divBdr>
                  <w:divsChild>
                    <w:div w:id="1620330554">
                      <w:marLeft w:val="0"/>
                      <w:marRight w:val="0"/>
                      <w:marTop w:val="0"/>
                      <w:marBottom w:val="0"/>
                      <w:divBdr>
                        <w:top w:val="none" w:sz="0" w:space="0" w:color="auto"/>
                        <w:left w:val="none" w:sz="0" w:space="0" w:color="auto"/>
                        <w:bottom w:val="none" w:sz="0" w:space="0" w:color="auto"/>
                        <w:right w:val="none" w:sz="0" w:space="0" w:color="auto"/>
                      </w:divBdr>
                      <w:divsChild>
                        <w:div w:id="619150941">
                          <w:marLeft w:val="0"/>
                          <w:marRight w:val="0"/>
                          <w:marTop w:val="0"/>
                          <w:marBottom w:val="0"/>
                          <w:divBdr>
                            <w:top w:val="none" w:sz="0" w:space="0" w:color="auto"/>
                            <w:left w:val="none" w:sz="0" w:space="0" w:color="auto"/>
                            <w:bottom w:val="none" w:sz="0" w:space="0" w:color="auto"/>
                            <w:right w:val="none" w:sz="0" w:space="0" w:color="auto"/>
                          </w:divBdr>
                          <w:divsChild>
                            <w:div w:id="1035422272">
                              <w:marLeft w:val="0"/>
                              <w:marRight w:val="0"/>
                              <w:marTop w:val="0"/>
                              <w:marBottom w:val="0"/>
                              <w:divBdr>
                                <w:top w:val="none" w:sz="0" w:space="0" w:color="auto"/>
                                <w:left w:val="none" w:sz="0" w:space="0" w:color="auto"/>
                                <w:bottom w:val="none" w:sz="0" w:space="0" w:color="auto"/>
                                <w:right w:val="none" w:sz="0" w:space="0" w:color="auto"/>
                              </w:divBdr>
                              <w:divsChild>
                                <w:div w:id="424228843">
                                  <w:marLeft w:val="0"/>
                                  <w:marRight w:val="0"/>
                                  <w:marTop w:val="0"/>
                                  <w:marBottom w:val="0"/>
                                  <w:divBdr>
                                    <w:top w:val="none" w:sz="0" w:space="0" w:color="auto"/>
                                    <w:left w:val="none" w:sz="0" w:space="0" w:color="auto"/>
                                    <w:bottom w:val="none" w:sz="0" w:space="0" w:color="auto"/>
                                    <w:right w:val="none" w:sz="0" w:space="0" w:color="auto"/>
                                  </w:divBdr>
                                  <w:divsChild>
                                    <w:div w:id="1940528801">
                                      <w:marLeft w:val="0"/>
                                      <w:marRight w:val="0"/>
                                      <w:marTop w:val="0"/>
                                      <w:marBottom w:val="0"/>
                                      <w:divBdr>
                                        <w:top w:val="none" w:sz="0" w:space="0" w:color="auto"/>
                                        <w:left w:val="none" w:sz="0" w:space="0" w:color="auto"/>
                                        <w:bottom w:val="none" w:sz="0" w:space="0" w:color="auto"/>
                                        <w:right w:val="none" w:sz="0" w:space="0" w:color="auto"/>
                                      </w:divBdr>
                                      <w:divsChild>
                                        <w:div w:id="1807578800">
                                          <w:marLeft w:val="0"/>
                                          <w:marRight w:val="0"/>
                                          <w:marTop w:val="0"/>
                                          <w:marBottom w:val="495"/>
                                          <w:divBdr>
                                            <w:top w:val="none" w:sz="0" w:space="0" w:color="auto"/>
                                            <w:left w:val="none" w:sz="0" w:space="0" w:color="auto"/>
                                            <w:bottom w:val="none" w:sz="0" w:space="0" w:color="auto"/>
                                            <w:right w:val="none" w:sz="0" w:space="0" w:color="auto"/>
                                          </w:divBdr>
                                          <w:divsChild>
                                            <w:div w:id="160341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59883496">
      <w:bodyDiv w:val="1"/>
      <w:marLeft w:val="0"/>
      <w:marRight w:val="0"/>
      <w:marTop w:val="0"/>
      <w:marBottom w:val="0"/>
      <w:divBdr>
        <w:top w:val="none" w:sz="0" w:space="0" w:color="auto"/>
        <w:left w:val="none" w:sz="0" w:space="0" w:color="auto"/>
        <w:bottom w:val="none" w:sz="0" w:space="0" w:color="auto"/>
        <w:right w:val="none" w:sz="0" w:space="0" w:color="auto"/>
      </w:divBdr>
      <w:divsChild>
        <w:div w:id="2088647819">
          <w:marLeft w:val="0"/>
          <w:marRight w:val="0"/>
          <w:marTop w:val="0"/>
          <w:marBottom w:val="0"/>
          <w:divBdr>
            <w:top w:val="none" w:sz="0" w:space="0" w:color="auto"/>
            <w:left w:val="none" w:sz="0" w:space="0" w:color="auto"/>
            <w:bottom w:val="none" w:sz="0" w:space="0" w:color="auto"/>
            <w:right w:val="none" w:sz="0" w:space="0" w:color="auto"/>
          </w:divBdr>
          <w:divsChild>
            <w:div w:id="1722553732">
              <w:marLeft w:val="0"/>
              <w:marRight w:val="0"/>
              <w:marTop w:val="0"/>
              <w:marBottom w:val="0"/>
              <w:divBdr>
                <w:top w:val="none" w:sz="0" w:space="0" w:color="auto"/>
                <w:left w:val="none" w:sz="0" w:space="0" w:color="auto"/>
                <w:bottom w:val="none" w:sz="0" w:space="0" w:color="auto"/>
                <w:right w:val="none" w:sz="0" w:space="0" w:color="auto"/>
              </w:divBdr>
              <w:divsChild>
                <w:div w:id="159657850">
                  <w:marLeft w:val="0"/>
                  <w:marRight w:val="0"/>
                  <w:marTop w:val="0"/>
                  <w:marBottom w:val="0"/>
                  <w:divBdr>
                    <w:top w:val="none" w:sz="0" w:space="0" w:color="auto"/>
                    <w:left w:val="none" w:sz="0" w:space="0" w:color="auto"/>
                    <w:bottom w:val="none" w:sz="0" w:space="0" w:color="auto"/>
                    <w:right w:val="none" w:sz="0" w:space="0" w:color="auto"/>
                  </w:divBdr>
                  <w:divsChild>
                    <w:div w:id="1025013522">
                      <w:marLeft w:val="0"/>
                      <w:marRight w:val="0"/>
                      <w:marTop w:val="0"/>
                      <w:marBottom w:val="0"/>
                      <w:divBdr>
                        <w:top w:val="none" w:sz="0" w:space="0" w:color="auto"/>
                        <w:left w:val="none" w:sz="0" w:space="0" w:color="auto"/>
                        <w:bottom w:val="none" w:sz="0" w:space="0" w:color="auto"/>
                        <w:right w:val="none" w:sz="0" w:space="0" w:color="auto"/>
                      </w:divBdr>
                      <w:divsChild>
                        <w:div w:id="573585867">
                          <w:marLeft w:val="0"/>
                          <w:marRight w:val="0"/>
                          <w:marTop w:val="0"/>
                          <w:marBottom w:val="0"/>
                          <w:divBdr>
                            <w:top w:val="none" w:sz="0" w:space="0" w:color="auto"/>
                            <w:left w:val="none" w:sz="0" w:space="0" w:color="auto"/>
                            <w:bottom w:val="none" w:sz="0" w:space="0" w:color="auto"/>
                            <w:right w:val="none" w:sz="0" w:space="0" w:color="auto"/>
                          </w:divBdr>
                          <w:divsChild>
                            <w:div w:id="1615673345">
                              <w:marLeft w:val="0"/>
                              <w:marRight w:val="0"/>
                              <w:marTop w:val="0"/>
                              <w:marBottom w:val="0"/>
                              <w:divBdr>
                                <w:top w:val="none" w:sz="0" w:space="0" w:color="auto"/>
                                <w:left w:val="none" w:sz="0" w:space="0" w:color="auto"/>
                                <w:bottom w:val="none" w:sz="0" w:space="0" w:color="auto"/>
                                <w:right w:val="none" w:sz="0" w:space="0" w:color="auto"/>
                              </w:divBdr>
                              <w:divsChild>
                                <w:div w:id="850143971">
                                  <w:marLeft w:val="0"/>
                                  <w:marRight w:val="0"/>
                                  <w:marTop w:val="0"/>
                                  <w:marBottom w:val="0"/>
                                  <w:divBdr>
                                    <w:top w:val="none" w:sz="0" w:space="0" w:color="auto"/>
                                    <w:left w:val="none" w:sz="0" w:space="0" w:color="auto"/>
                                    <w:bottom w:val="none" w:sz="0" w:space="0" w:color="auto"/>
                                    <w:right w:val="none" w:sz="0" w:space="0" w:color="auto"/>
                                  </w:divBdr>
                                  <w:divsChild>
                                    <w:div w:id="2028172681">
                                      <w:marLeft w:val="0"/>
                                      <w:marRight w:val="0"/>
                                      <w:marTop w:val="0"/>
                                      <w:marBottom w:val="0"/>
                                      <w:divBdr>
                                        <w:top w:val="none" w:sz="0" w:space="0" w:color="auto"/>
                                        <w:left w:val="none" w:sz="0" w:space="0" w:color="auto"/>
                                        <w:bottom w:val="none" w:sz="0" w:space="0" w:color="auto"/>
                                        <w:right w:val="none" w:sz="0" w:space="0" w:color="auto"/>
                                      </w:divBdr>
                                      <w:divsChild>
                                        <w:div w:id="669020708">
                                          <w:marLeft w:val="0"/>
                                          <w:marRight w:val="0"/>
                                          <w:marTop w:val="0"/>
                                          <w:marBottom w:val="495"/>
                                          <w:divBdr>
                                            <w:top w:val="none" w:sz="0" w:space="0" w:color="auto"/>
                                            <w:left w:val="none" w:sz="0" w:space="0" w:color="auto"/>
                                            <w:bottom w:val="none" w:sz="0" w:space="0" w:color="auto"/>
                                            <w:right w:val="none" w:sz="0" w:space="0" w:color="auto"/>
                                          </w:divBdr>
                                          <w:divsChild>
                                            <w:div w:id="169826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980235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72775559">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8640298">
      <w:bodyDiv w:val="1"/>
      <w:marLeft w:val="0"/>
      <w:marRight w:val="0"/>
      <w:marTop w:val="0"/>
      <w:marBottom w:val="0"/>
      <w:divBdr>
        <w:top w:val="none" w:sz="0" w:space="0" w:color="auto"/>
        <w:left w:val="none" w:sz="0" w:space="0" w:color="auto"/>
        <w:bottom w:val="none" w:sz="0" w:space="0" w:color="auto"/>
        <w:right w:val="none" w:sz="0" w:space="0" w:color="auto"/>
      </w:divBdr>
    </w:div>
    <w:div w:id="1852060514">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566</TotalTime>
  <Pages>4</Pages>
  <Words>1159</Words>
  <Characters>6611</Characters>
  <Application>Microsoft Office Word</Application>
  <DocSecurity>0</DocSecurity>
  <Lines>55</Lines>
  <Paragraphs>15</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7755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 v2</cp:lastModifiedBy>
  <cp:revision>34</cp:revision>
  <cp:lastPrinted>2017-04-28T05:57:00Z</cp:lastPrinted>
  <dcterms:created xsi:type="dcterms:W3CDTF">2019-03-29T03:55:00Z</dcterms:created>
  <dcterms:modified xsi:type="dcterms:W3CDTF">2019-05-03T18:50:00Z</dcterms:modified>
</cp:coreProperties>
</file>